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946" w:rsidRPr="00A916D5" w:rsidRDefault="00582946" w:rsidP="00582946">
      <w:pPr>
        <w:tabs>
          <w:tab w:val="left" w:pos="142"/>
        </w:tabs>
        <w:spacing w:before="120" w:after="120" w:line="360" w:lineRule="auto"/>
        <w:ind w:left="2127" w:hanging="2127"/>
        <w:jc w:val="both"/>
        <w:rPr>
          <w:b/>
          <w:sz w:val="28"/>
          <w:szCs w:val="28"/>
        </w:rPr>
      </w:pPr>
      <w:r>
        <w:rPr>
          <w:b/>
          <w:sz w:val="28"/>
          <w:szCs w:val="28"/>
          <w:u w:val="single"/>
        </w:rPr>
        <w:t xml:space="preserve">CHAPITRE </w:t>
      </w:r>
      <w:r w:rsidRPr="00A916D5">
        <w:rPr>
          <w:b/>
          <w:sz w:val="28"/>
          <w:szCs w:val="28"/>
          <w:u w:val="single"/>
        </w:rPr>
        <w:t>I</w:t>
      </w:r>
      <w:r w:rsidRPr="0044302B">
        <w:rPr>
          <w:b/>
          <w:sz w:val="28"/>
          <w:szCs w:val="28"/>
        </w:rPr>
        <w:t> :</w:t>
      </w:r>
      <w:r w:rsidRPr="00A916D5">
        <w:rPr>
          <w:b/>
          <w:sz w:val="28"/>
          <w:szCs w:val="28"/>
        </w:rPr>
        <w:t xml:space="preserve"> </w:t>
      </w:r>
      <w:r>
        <w:rPr>
          <w:b/>
          <w:sz w:val="28"/>
          <w:szCs w:val="28"/>
        </w:rPr>
        <w:t>L’ACTIVITE ANTIMICROBIENNE DES BACTERIES LACTIQUES ET DES BIFIDOBACTERIES</w:t>
      </w:r>
    </w:p>
    <w:p w:rsidR="00582946" w:rsidRPr="003E092F" w:rsidRDefault="00582946" w:rsidP="00582946">
      <w:pPr>
        <w:autoSpaceDE w:val="0"/>
        <w:autoSpaceDN w:val="0"/>
        <w:adjustRightInd w:val="0"/>
        <w:spacing w:before="120" w:after="120" w:line="360" w:lineRule="auto"/>
        <w:ind w:firstLine="708"/>
        <w:jc w:val="both"/>
        <w:rPr>
          <w:b/>
          <w:bCs/>
          <w:color w:val="FF0000"/>
        </w:rPr>
      </w:pPr>
      <w:r w:rsidRPr="00A916D5">
        <w:rPr>
          <w:b/>
        </w:rPr>
        <w:t xml:space="preserve">I.1. </w:t>
      </w:r>
      <w:r w:rsidRPr="00C562C6">
        <w:rPr>
          <w:b/>
          <w:bCs/>
        </w:rPr>
        <w:t>L’activité antimicrobien des bactéries lactiques</w:t>
      </w:r>
      <w:r w:rsidRPr="003E092F">
        <w:rPr>
          <w:b/>
          <w:bCs/>
          <w:color w:val="FF0000"/>
        </w:rPr>
        <w:t xml:space="preserve"> </w:t>
      </w:r>
    </w:p>
    <w:p w:rsidR="00582946" w:rsidRPr="003015C7" w:rsidRDefault="00582946" w:rsidP="00582946">
      <w:pPr>
        <w:autoSpaceDE w:val="0"/>
        <w:autoSpaceDN w:val="0"/>
        <w:adjustRightInd w:val="0"/>
        <w:spacing w:before="120" w:after="120" w:line="360" w:lineRule="auto"/>
        <w:ind w:firstLine="708"/>
        <w:jc w:val="both"/>
        <w:rPr>
          <w:b/>
          <w:bCs/>
        </w:rPr>
      </w:pPr>
      <w:r w:rsidRPr="00A916D5">
        <w:rPr>
          <w:b/>
        </w:rPr>
        <w:t>I.1</w:t>
      </w:r>
      <w:r>
        <w:rPr>
          <w:b/>
        </w:rPr>
        <w:t xml:space="preserve">.1. </w:t>
      </w:r>
      <w:r w:rsidRPr="003015C7">
        <w:rPr>
          <w:b/>
          <w:bCs/>
        </w:rPr>
        <w:t>Définition des bactéries lactiques</w:t>
      </w:r>
    </w:p>
    <w:p w:rsidR="00582946" w:rsidRPr="003015C7" w:rsidRDefault="00582946" w:rsidP="00582946">
      <w:pPr>
        <w:autoSpaceDE w:val="0"/>
        <w:autoSpaceDN w:val="0"/>
        <w:adjustRightInd w:val="0"/>
        <w:spacing w:before="120" w:after="120" w:line="360" w:lineRule="auto"/>
        <w:ind w:firstLine="708"/>
        <w:jc w:val="both"/>
      </w:pPr>
      <w:r w:rsidRPr="003015C7">
        <w:t>Les bactéries lactiques sont un groupe hétérogène de microorganismes produisant de</w:t>
      </w:r>
      <w:r>
        <w:t xml:space="preserve"> </w:t>
      </w:r>
      <w:r w:rsidRPr="003015C7">
        <w:t>l’acide lactique comme produit principal du métabolisme. Elles sont non pigmentées, aérobies anaérobies facultati</w:t>
      </w:r>
      <w:r>
        <w:t>ve</w:t>
      </w:r>
      <w:r w:rsidRPr="003015C7">
        <w:t>s, Gram-positif, catalase négatives à l’exception de certains genres à</w:t>
      </w:r>
      <w:r>
        <w:t xml:space="preserve"> </w:t>
      </w:r>
      <w:r w:rsidRPr="003015C7">
        <w:t xml:space="preserve">pseudo catalase et tolérantes à des pH acides. </w:t>
      </w:r>
    </w:p>
    <w:p w:rsidR="00582946" w:rsidRPr="003015C7" w:rsidRDefault="00582946" w:rsidP="00582946">
      <w:pPr>
        <w:autoSpaceDE w:val="0"/>
        <w:autoSpaceDN w:val="0"/>
        <w:adjustRightInd w:val="0"/>
        <w:spacing w:before="120" w:after="120" w:line="360" w:lineRule="auto"/>
        <w:ind w:firstLine="708"/>
        <w:jc w:val="both"/>
      </w:pPr>
      <w:r w:rsidRPr="003015C7">
        <w:t>Leur forme peut être coccoïde, coccobacillaire, ou bacillaire. Elles sont généralement mésophiles. Sur la base des caractéristiques de fermentation, les bactéries lactiques sont homofermentaires ou hétérofermentaires.</w:t>
      </w:r>
    </w:p>
    <w:p w:rsidR="00582946" w:rsidRPr="003015C7" w:rsidRDefault="00582946" w:rsidP="00582946">
      <w:pPr>
        <w:autoSpaceDE w:val="0"/>
        <w:autoSpaceDN w:val="0"/>
        <w:adjustRightInd w:val="0"/>
        <w:spacing w:before="120" w:after="120" w:line="360" w:lineRule="auto"/>
        <w:ind w:firstLine="708"/>
        <w:jc w:val="both"/>
      </w:pPr>
      <w:r w:rsidRPr="003015C7">
        <w:t xml:space="preserve"> Dans le premier cas, seul l’acide lactique est produit. Dans le second, en plus de l’acide lactique sont produits de l’acide acétique, de l’éthanol, du dioxyde de carbone et de l’acide formique.</w:t>
      </w:r>
    </w:p>
    <w:p w:rsidR="00582946" w:rsidRPr="003015C7" w:rsidRDefault="00582946" w:rsidP="00582946">
      <w:pPr>
        <w:autoSpaceDE w:val="0"/>
        <w:autoSpaceDN w:val="0"/>
        <w:adjustRightInd w:val="0"/>
        <w:spacing w:before="120" w:after="120" w:line="360" w:lineRule="auto"/>
        <w:ind w:firstLine="708"/>
        <w:jc w:val="both"/>
      </w:pPr>
      <w:r w:rsidRPr="003015C7">
        <w:t>Actuellement, les bactéries lactiques regroupent douze genres bactériens différents :</w:t>
      </w:r>
    </w:p>
    <w:p w:rsidR="00582946" w:rsidRPr="003015C7" w:rsidRDefault="00582946" w:rsidP="00582946">
      <w:pPr>
        <w:autoSpaceDE w:val="0"/>
        <w:autoSpaceDN w:val="0"/>
        <w:adjustRightInd w:val="0"/>
        <w:spacing w:before="120" w:after="120" w:line="360" w:lineRule="auto"/>
        <w:jc w:val="both"/>
      </w:pPr>
      <w:r w:rsidRPr="003015C7">
        <w:rPr>
          <w:i/>
          <w:iCs/>
        </w:rPr>
        <w:t>Lactobacillus</w:t>
      </w:r>
      <w:r w:rsidRPr="003015C7">
        <w:t xml:space="preserve">, </w:t>
      </w:r>
      <w:r w:rsidRPr="003015C7">
        <w:rPr>
          <w:i/>
          <w:iCs/>
        </w:rPr>
        <w:t>Leuconostoc</w:t>
      </w:r>
      <w:r w:rsidRPr="003015C7">
        <w:t xml:space="preserve">, </w:t>
      </w:r>
      <w:r w:rsidRPr="003015C7">
        <w:rPr>
          <w:i/>
          <w:iCs/>
        </w:rPr>
        <w:t>Lactococcus</w:t>
      </w:r>
      <w:r w:rsidRPr="003015C7">
        <w:t xml:space="preserve">, </w:t>
      </w:r>
      <w:r w:rsidRPr="003015C7">
        <w:rPr>
          <w:i/>
          <w:iCs/>
        </w:rPr>
        <w:t>Enterococcus</w:t>
      </w:r>
      <w:r w:rsidRPr="003015C7">
        <w:t xml:space="preserve">, </w:t>
      </w:r>
      <w:r w:rsidRPr="003015C7">
        <w:rPr>
          <w:i/>
          <w:iCs/>
        </w:rPr>
        <w:t>Streptococcus</w:t>
      </w:r>
      <w:r w:rsidRPr="003015C7">
        <w:t xml:space="preserve">, </w:t>
      </w:r>
      <w:r w:rsidRPr="003015C7">
        <w:rPr>
          <w:i/>
          <w:iCs/>
        </w:rPr>
        <w:t>Pediococcus</w:t>
      </w:r>
      <w:r w:rsidRPr="003015C7">
        <w:t>,</w:t>
      </w:r>
    </w:p>
    <w:p w:rsidR="00582946" w:rsidRPr="003015C7" w:rsidRDefault="00582946" w:rsidP="00582946">
      <w:pPr>
        <w:autoSpaceDE w:val="0"/>
        <w:autoSpaceDN w:val="0"/>
        <w:adjustRightInd w:val="0"/>
        <w:spacing w:before="120" w:after="120" w:line="360" w:lineRule="auto"/>
        <w:jc w:val="both"/>
      </w:pPr>
      <w:r w:rsidRPr="003015C7">
        <w:rPr>
          <w:i/>
          <w:iCs/>
        </w:rPr>
        <w:t>Carnobacterium</w:t>
      </w:r>
      <w:r w:rsidRPr="003015C7">
        <w:t xml:space="preserve">, </w:t>
      </w:r>
      <w:r w:rsidRPr="003015C7">
        <w:rPr>
          <w:i/>
          <w:iCs/>
        </w:rPr>
        <w:t>Oenococcus</w:t>
      </w:r>
      <w:r w:rsidRPr="003015C7">
        <w:t xml:space="preserve">, </w:t>
      </w:r>
      <w:r w:rsidRPr="003015C7">
        <w:rPr>
          <w:i/>
          <w:iCs/>
        </w:rPr>
        <w:t>Weissella, Aerococcus</w:t>
      </w:r>
      <w:r w:rsidRPr="003015C7">
        <w:t xml:space="preserve">, </w:t>
      </w:r>
      <w:r w:rsidRPr="003015C7">
        <w:rPr>
          <w:i/>
          <w:iCs/>
        </w:rPr>
        <w:t xml:space="preserve">Tetragenococcus </w:t>
      </w:r>
      <w:r w:rsidRPr="003015C7">
        <w:t xml:space="preserve">et </w:t>
      </w:r>
      <w:r w:rsidRPr="003015C7">
        <w:rPr>
          <w:i/>
          <w:iCs/>
        </w:rPr>
        <w:t>Vagococcus</w:t>
      </w:r>
      <w:r w:rsidRPr="003015C7">
        <w:t>.</w:t>
      </w:r>
    </w:p>
    <w:p w:rsidR="00582946" w:rsidRPr="001A73B7" w:rsidRDefault="00582946" w:rsidP="00582946">
      <w:pPr>
        <w:autoSpaceDE w:val="0"/>
        <w:autoSpaceDN w:val="0"/>
        <w:adjustRightInd w:val="0"/>
        <w:spacing w:before="120" w:after="120" w:line="360" w:lineRule="auto"/>
        <w:ind w:firstLine="708"/>
        <w:jc w:val="both"/>
        <w:rPr>
          <w:b/>
          <w:bCs/>
        </w:rPr>
      </w:pPr>
      <w:r w:rsidRPr="00A916D5">
        <w:rPr>
          <w:b/>
        </w:rPr>
        <w:t>I.1</w:t>
      </w:r>
      <w:r>
        <w:rPr>
          <w:b/>
        </w:rPr>
        <w:t xml:space="preserve">.2. </w:t>
      </w:r>
      <w:r w:rsidRPr="001A73B7">
        <w:rPr>
          <w:b/>
          <w:bCs/>
        </w:rPr>
        <w:t>Les propriétés antimicrobiennes des bactéries lactiques</w:t>
      </w:r>
    </w:p>
    <w:p w:rsidR="00582946" w:rsidRPr="003015C7" w:rsidRDefault="00582946" w:rsidP="00582946">
      <w:pPr>
        <w:autoSpaceDE w:val="0"/>
        <w:autoSpaceDN w:val="0"/>
        <w:adjustRightInd w:val="0"/>
        <w:spacing w:before="120" w:after="120" w:line="360" w:lineRule="auto"/>
        <w:ind w:firstLine="708"/>
        <w:jc w:val="both"/>
      </w:pPr>
      <w:r w:rsidRPr="003015C7">
        <w:t>Les propriétés antimicrobiennes des bactéries lactiques peuvent être associées à de</w:t>
      </w:r>
      <w:r>
        <w:t xml:space="preserve"> </w:t>
      </w:r>
      <w:r w:rsidRPr="003015C7">
        <w:t>nombreux éléments. Elles résultent de l’effet combiné de différents facteurs biologiques</w:t>
      </w:r>
      <w:r>
        <w:t xml:space="preserve"> </w:t>
      </w:r>
      <w:r w:rsidRPr="003015C7">
        <w:t>provenant de leurs activités métaboliques.</w:t>
      </w:r>
    </w:p>
    <w:p w:rsidR="00582946" w:rsidRPr="00A54237" w:rsidRDefault="00582946" w:rsidP="00582946">
      <w:pPr>
        <w:autoSpaceDE w:val="0"/>
        <w:autoSpaceDN w:val="0"/>
        <w:adjustRightInd w:val="0"/>
        <w:spacing w:before="120" w:after="120" w:line="360" w:lineRule="auto"/>
        <w:ind w:firstLine="708"/>
        <w:jc w:val="both"/>
        <w:rPr>
          <w:b/>
          <w:bCs/>
          <w:color w:val="FF0000"/>
        </w:rPr>
      </w:pPr>
      <w:r w:rsidRPr="00A916D5">
        <w:rPr>
          <w:b/>
        </w:rPr>
        <w:t>I.1</w:t>
      </w:r>
      <w:r>
        <w:rPr>
          <w:b/>
        </w:rPr>
        <w:t xml:space="preserve">.3. </w:t>
      </w:r>
      <w:r w:rsidRPr="001A73B7">
        <w:rPr>
          <w:b/>
          <w:bCs/>
        </w:rPr>
        <w:t>Le pH et les acides organiques</w:t>
      </w:r>
    </w:p>
    <w:p w:rsidR="00582946" w:rsidRDefault="00582946" w:rsidP="00582946">
      <w:pPr>
        <w:autoSpaceDE w:val="0"/>
        <w:autoSpaceDN w:val="0"/>
        <w:adjustRightInd w:val="0"/>
        <w:spacing w:before="120" w:after="120" w:line="360" w:lineRule="auto"/>
        <w:ind w:firstLine="708"/>
        <w:jc w:val="both"/>
      </w:pPr>
      <w:r w:rsidRPr="003015C7">
        <w:t>Les produits principaux du métabolisme des bactéries lactiques sont les acides</w:t>
      </w:r>
      <w:r>
        <w:t xml:space="preserve"> </w:t>
      </w:r>
      <w:r w:rsidRPr="003015C7">
        <w:t>organiques. Les acides organiques sont produits soit par la voie homofermentaire, soit par la</w:t>
      </w:r>
      <w:r>
        <w:t xml:space="preserve"> </w:t>
      </w:r>
      <w:r w:rsidRPr="003015C7">
        <w:t>voie hétérofermentaire</w:t>
      </w:r>
      <w:r>
        <w:t>.</w:t>
      </w:r>
      <w:r w:rsidRPr="00C127F8">
        <w:rPr>
          <w:color w:val="0033CC"/>
        </w:rPr>
        <w:t xml:space="preserve"> </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Le métabolisme du pyruvate conduit à la formation uniquement</w:t>
      </w:r>
      <w:r>
        <w:t xml:space="preserve"> </w:t>
      </w:r>
      <w:r w:rsidRPr="003015C7">
        <w:t>d’acide lactique chez les homofermentaires tandis qu’il conduit à la formation d’acide</w:t>
      </w:r>
      <w:r>
        <w:t xml:space="preserve"> </w:t>
      </w:r>
      <w:r w:rsidRPr="003015C7">
        <w:t>lactique, acétique et formique, d’éthanol et de dioxyde de carbone chez les hétérofermentaires</w:t>
      </w:r>
      <w:r>
        <w:t xml:space="preserve"> </w:t>
      </w:r>
      <w:r w:rsidRPr="007015E0">
        <w:rPr>
          <w:color w:val="0000FF"/>
        </w:rPr>
        <w:t>(Liu, 2003)</w:t>
      </w:r>
      <w:r w:rsidRPr="007015E0">
        <w:t>.</w:t>
      </w:r>
    </w:p>
    <w:p w:rsidR="00582946" w:rsidRPr="003015C7" w:rsidRDefault="00582946" w:rsidP="00582946">
      <w:pPr>
        <w:autoSpaceDE w:val="0"/>
        <w:autoSpaceDN w:val="0"/>
        <w:adjustRightInd w:val="0"/>
        <w:spacing w:before="120" w:after="120" w:line="360" w:lineRule="auto"/>
        <w:ind w:firstLine="708"/>
        <w:jc w:val="both"/>
      </w:pPr>
      <w:r w:rsidRPr="003015C7">
        <w:lastRenderedPageBreak/>
        <w:t>Grâce à cette production d’acides organiques, les bactéries lactiques diminuent le pH</w:t>
      </w:r>
      <w:r>
        <w:t xml:space="preserve"> </w:t>
      </w:r>
      <w:r w:rsidRPr="003015C7">
        <w:t>du milieu dans lequel elles se multiplient en inhibant une partie de la flore qui s’y développe.</w:t>
      </w:r>
      <w:r>
        <w:t xml:space="preserve"> </w:t>
      </w:r>
      <w:r w:rsidRPr="003015C7">
        <w:t>Leur compétitivité est améliorée étant donné leur grande tolérance aux pH bas extra et intra</w:t>
      </w:r>
      <w:r>
        <w:t xml:space="preserve"> </w:t>
      </w:r>
      <w:r w:rsidRPr="003015C7">
        <w:t>cellulaires.</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 xml:space="preserve"> Outre la diminution du pH du milieu, l’effet antagoniste des acides organiques</w:t>
      </w:r>
      <w:r>
        <w:t xml:space="preserve"> </w:t>
      </w:r>
      <w:r w:rsidRPr="003015C7">
        <w:t>résulte de l’action de leur forme non dissociée. En effet, la forme non dissociée de l’acide</w:t>
      </w:r>
      <w:r>
        <w:t xml:space="preserve"> </w:t>
      </w:r>
      <w:r w:rsidRPr="003015C7">
        <w:t>peut traverser passivement la membrane et acidifier le cytoplasme par libération du proton, ce</w:t>
      </w:r>
      <w:r>
        <w:t xml:space="preserve"> </w:t>
      </w:r>
      <w:r w:rsidRPr="003015C7">
        <w:t xml:space="preserve">qui affecte le métabolisme cellulaire en inhibant certaines fonctions </w:t>
      </w:r>
      <w:r w:rsidRPr="007015E0">
        <w:rPr>
          <w:color w:val="0000FF"/>
        </w:rPr>
        <w:t xml:space="preserve">(Klaenhammer, 1993 ; Janssen </w:t>
      </w:r>
      <w:r w:rsidRPr="007015E0">
        <w:rPr>
          <w:i/>
          <w:iCs/>
          <w:color w:val="0000FF"/>
        </w:rPr>
        <w:t>et al.</w:t>
      </w:r>
      <w:r w:rsidRPr="007015E0">
        <w:rPr>
          <w:color w:val="0000FF"/>
        </w:rPr>
        <w:t>, 2007)</w:t>
      </w:r>
      <w:r w:rsidRPr="00EF081E">
        <w:t>.</w:t>
      </w:r>
    </w:p>
    <w:p w:rsidR="00582946" w:rsidRPr="003015C7" w:rsidRDefault="00582946" w:rsidP="00582946">
      <w:pPr>
        <w:autoSpaceDE w:val="0"/>
        <w:autoSpaceDN w:val="0"/>
        <w:adjustRightInd w:val="0"/>
        <w:spacing w:before="120" w:after="120" w:line="360" w:lineRule="auto"/>
        <w:ind w:firstLine="708"/>
        <w:jc w:val="both"/>
      </w:pPr>
      <w:r w:rsidRPr="003015C7">
        <w:t>Les acides organiques sont un des agents classiques de préservation des aliments</w:t>
      </w:r>
      <w:r w:rsidRPr="00BC777F">
        <w:t xml:space="preserve">, </w:t>
      </w:r>
      <w:r w:rsidRPr="007015E0">
        <w:t xml:space="preserve"> </w:t>
      </w:r>
      <w:r>
        <w:t>ils</w:t>
      </w:r>
      <w:r w:rsidRPr="003015C7">
        <w:t xml:space="preserve"> sont reconnus comme des additifs alimentaires. Les acides couramment utilisés</w:t>
      </w:r>
      <w:r>
        <w:t xml:space="preserve"> </w:t>
      </w:r>
      <w:r w:rsidRPr="003015C7">
        <w:t>sont les acides</w:t>
      </w:r>
      <w:r>
        <w:t> :</w:t>
      </w:r>
      <w:r w:rsidRPr="003015C7">
        <w:t xml:space="preserve"> benzoïque, sorbique, acétique, fumarique, propionique et lactique. Ils sont</w:t>
      </w:r>
      <w:r>
        <w:t xml:space="preserve"> </w:t>
      </w:r>
      <w:r w:rsidRPr="003015C7">
        <w:t xml:space="preserve">utilisés pour prévenir ou retarder la croissance des bactéries dégradant la nourriture </w:t>
      </w:r>
      <w:r w:rsidRPr="007015E0">
        <w:rPr>
          <w:color w:val="0000FF"/>
        </w:rPr>
        <w:t xml:space="preserve">(Hsiao </w:t>
      </w:r>
      <w:r w:rsidRPr="007015E0">
        <w:rPr>
          <w:i/>
          <w:iCs/>
          <w:color w:val="0000FF"/>
        </w:rPr>
        <w:t>et al</w:t>
      </w:r>
      <w:r w:rsidRPr="007015E0">
        <w:rPr>
          <w:color w:val="0000FF"/>
        </w:rPr>
        <w:t>., 1999)</w:t>
      </w:r>
      <w:r w:rsidRPr="003015C7">
        <w:t xml:space="preserve">. </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 xml:space="preserve">Le principal problème consécutif à leur utilisation est la haute concentration nécessaire pour inhiber les bactéries pathogènes ou indésirables et qui est parfois inacceptable pour le consommateur </w:t>
      </w:r>
      <w:r w:rsidRPr="007015E0">
        <w:rPr>
          <w:color w:val="0000FF"/>
        </w:rPr>
        <w:t xml:space="preserve">(Kobilinsky </w:t>
      </w:r>
      <w:r w:rsidRPr="007015E0">
        <w:rPr>
          <w:i/>
          <w:iCs/>
          <w:color w:val="0000FF"/>
        </w:rPr>
        <w:t>et al</w:t>
      </w:r>
      <w:r w:rsidRPr="007015E0">
        <w:rPr>
          <w:color w:val="0000FF"/>
        </w:rPr>
        <w:t>., 2007)</w:t>
      </w:r>
      <w:r w:rsidRPr="007015E0">
        <w:t>.</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Les bactéries pathogènes peuvent développer certains mécanismes de résistance</w:t>
      </w:r>
      <w:r>
        <w:t xml:space="preserve"> </w:t>
      </w:r>
      <w:r w:rsidRPr="003015C7">
        <w:t>appelés « acid tolerance response » vis à vis de l’exposition à des pH bas. Ceux-ci leur sont</w:t>
      </w:r>
      <w:r>
        <w:t xml:space="preserve"> </w:t>
      </w:r>
      <w:r w:rsidRPr="003015C7">
        <w:t xml:space="preserve">également utiles pour survivre au transit intestinal. </w:t>
      </w:r>
      <w:r w:rsidRPr="00CC4071">
        <w:rPr>
          <w:i/>
          <w:iCs/>
        </w:rPr>
        <w:t xml:space="preserve">L. monocytogenes  </w:t>
      </w:r>
      <w:r w:rsidRPr="003015C7">
        <w:t>par exemple peut</w:t>
      </w:r>
      <w:r>
        <w:t xml:space="preserve"> </w:t>
      </w:r>
      <w:r w:rsidRPr="003015C7">
        <w:t xml:space="preserve">survivre à une exposition de 60 minutes à un pH de 3 </w:t>
      </w:r>
      <w:r w:rsidRPr="007015E0">
        <w:rPr>
          <w:color w:val="0000FF"/>
        </w:rPr>
        <w:t xml:space="preserve">(Cotter </w:t>
      </w:r>
      <w:r w:rsidRPr="007015E0">
        <w:rPr>
          <w:i/>
          <w:iCs/>
          <w:color w:val="0000FF"/>
        </w:rPr>
        <w:t>et al</w:t>
      </w:r>
      <w:r w:rsidRPr="007015E0">
        <w:rPr>
          <w:color w:val="0000FF"/>
        </w:rPr>
        <w:t>., 2003)</w:t>
      </w:r>
      <w:r w:rsidRPr="007015E0">
        <w:t>.</w:t>
      </w:r>
    </w:p>
    <w:p w:rsidR="00582946" w:rsidRPr="00A54237" w:rsidRDefault="00582946" w:rsidP="00582946">
      <w:pPr>
        <w:autoSpaceDE w:val="0"/>
        <w:autoSpaceDN w:val="0"/>
        <w:adjustRightInd w:val="0"/>
        <w:spacing w:before="120" w:after="120" w:line="360" w:lineRule="auto"/>
        <w:ind w:firstLine="708"/>
        <w:jc w:val="both"/>
        <w:rPr>
          <w:b/>
          <w:bCs/>
          <w:color w:val="FF0000"/>
        </w:rPr>
      </w:pPr>
      <w:r w:rsidRPr="00A916D5">
        <w:rPr>
          <w:b/>
        </w:rPr>
        <w:t>I.1</w:t>
      </w:r>
      <w:r>
        <w:rPr>
          <w:b/>
        </w:rPr>
        <w:t>.</w:t>
      </w:r>
      <w:r w:rsidRPr="001A73B7">
        <w:rPr>
          <w:b/>
        </w:rPr>
        <w:t>4</w:t>
      </w:r>
      <w:r>
        <w:rPr>
          <w:b/>
        </w:rPr>
        <w:t xml:space="preserve">. </w:t>
      </w:r>
      <w:r w:rsidRPr="001A73B7">
        <w:rPr>
          <w:b/>
          <w:bCs/>
        </w:rPr>
        <w:t>Le peroxyde d’hydrogène</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Les bactéries lactiques ne possèdent pas de catalase typique contenant un noyau hème</w:t>
      </w:r>
      <w:r>
        <w:t xml:space="preserve"> </w:t>
      </w:r>
      <w:r w:rsidRPr="003015C7">
        <w:t>pour dégrader le peroxyde d’hydrogène en oxygène et en eau. Il peut s’accumuler et être</w:t>
      </w:r>
      <w:r>
        <w:t xml:space="preserve"> </w:t>
      </w:r>
      <w:r w:rsidRPr="003015C7">
        <w:t xml:space="preserve">inhibiteur de différents micro-organismes par l’oxydation des lipides membranaires et la destruction des structures des protéines cellulaires </w:t>
      </w:r>
      <w:r w:rsidRPr="007015E0">
        <w:rPr>
          <w:color w:val="0000FF"/>
        </w:rPr>
        <w:t xml:space="preserve">(Zalan </w:t>
      </w:r>
      <w:r w:rsidRPr="007015E0">
        <w:rPr>
          <w:i/>
          <w:iCs/>
          <w:color w:val="0000FF"/>
        </w:rPr>
        <w:t>et al.</w:t>
      </w:r>
      <w:r w:rsidRPr="007015E0">
        <w:rPr>
          <w:color w:val="0000FF"/>
        </w:rPr>
        <w:t>, 2005)</w:t>
      </w:r>
      <w:r w:rsidRPr="007015E0">
        <w:t>.</w:t>
      </w:r>
    </w:p>
    <w:p w:rsidR="00582946" w:rsidRPr="003015C7" w:rsidRDefault="00582946" w:rsidP="00582946">
      <w:pPr>
        <w:autoSpaceDE w:val="0"/>
        <w:autoSpaceDN w:val="0"/>
        <w:adjustRightInd w:val="0"/>
        <w:spacing w:before="120" w:after="120" w:line="360" w:lineRule="auto"/>
        <w:ind w:firstLine="708"/>
        <w:jc w:val="both"/>
      </w:pPr>
      <w:r w:rsidRPr="003015C7">
        <w:t xml:space="preserve"> Certaines bactéries lactiques peuvent néanmoins se protéger contre le peroxyde d’hydrogène qu’elles produisent par la synthèse de catalase hexamérique ou tétramérique contenant du manganèse et qui sont parfois décrites comme étant des pseudocatalases </w:t>
      </w:r>
      <w:r w:rsidRPr="007015E0">
        <w:rPr>
          <w:color w:val="0000FF"/>
        </w:rPr>
        <w:t xml:space="preserve">(Strus </w:t>
      </w:r>
      <w:r w:rsidRPr="007015E0">
        <w:rPr>
          <w:i/>
          <w:iCs/>
          <w:color w:val="0000FF"/>
        </w:rPr>
        <w:t>et al.</w:t>
      </w:r>
      <w:r w:rsidRPr="007015E0">
        <w:rPr>
          <w:color w:val="0000FF"/>
        </w:rPr>
        <w:t>, 2006)</w:t>
      </w:r>
      <w:r w:rsidRPr="007015E0">
        <w:t>.</w:t>
      </w:r>
      <w:r w:rsidRPr="003015C7">
        <w:t xml:space="preserve"> </w:t>
      </w:r>
    </w:p>
    <w:p w:rsidR="00582946" w:rsidRPr="003015C7" w:rsidRDefault="00582946" w:rsidP="00582946">
      <w:pPr>
        <w:autoSpaceDE w:val="0"/>
        <w:autoSpaceDN w:val="0"/>
        <w:adjustRightInd w:val="0"/>
        <w:spacing w:before="120" w:after="120" w:line="360" w:lineRule="auto"/>
        <w:ind w:firstLine="708"/>
        <w:jc w:val="both"/>
      </w:pPr>
      <w:r w:rsidRPr="003015C7">
        <w:lastRenderedPageBreak/>
        <w:t xml:space="preserve">La concentration de peroxyde d’hydrogène produite par des </w:t>
      </w:r>
      <w:r w:rsidRPr="003015C7">
        <w:rPr>
          <w:i/>
          <w:iCs/>
        </w:rPr>
        <w:t xml:space="preserve">Lactobacilli </w:t>
      </w:r>
      <w:r w:rsidRPr="003015C7">
        <w:t xml:space="preserve">varie entre 0,001 et </w:t>
      </w:r>
      <w:smartTag w:uri="urn:schemas-microsoft-com:office:smarttags" w:element="metricconverter">
        <w:smartTagPr>
          <w:attr w:name="ProductID" w:val="8 mM"/>
        </w:smartTagPr>
        <w:r w:rsidRPr="003015C7">
          <w:t>8 mM</w:t>
        </w:r>
      </w:smartTag>
      <w:r w:rsidRPr="003015C7">
        <w:t xml:space="preserve">, en fonction de l’espèce, de la souche et des conditions de cultures </w:t>
      </w:r>
      <w:r w:rsidRPr="00DA299B">
        <w:rPr>
          <w:color w:val="0000FF"/>
        </w:rPr>
        <w:t>(</w:t>
      </w:r>
      <w:r w:rsidRPr="007015E0">
        <w:rPr>
          <w:color w:val="0000FF"/>
        </w:rPr>
        <w:t xml:space="preserve">Zalan </w:t>
      </w:r>
      <w:r w:rsidRPr="007015E0">
        <w:rPr>
          <w:i/>
          <w:iCs/>
          <w:color w:val="0000FF"/>
        </w:rPr>
        <w:t>et al.</w:t>
      </w:r>
      <w:r w:rsidRPr="007015E0">
        <w:rPr>
          <w:color w:val="0000FF"/>
        </w:rPr>
        <w:t xml:space="preserve">, 2005 ; Strus </w:t>
      </w:r>
      <w:r w:rsidRPr="007015E0">
        <w:rPr>
          <w:i/>
          <w:iCs/>
          <w:color w:val="0000FF"/>
        </w:rPr>
        <w:t>et al</w:t>
      </w:r>
      <w:r w:rsidRPr="007015E0">
        <w:rPr>
          <w:color w:val="0000FF"/>
        </w:rPr>
        <w:t>., 2006)</w:t>
      </w:r>
      <w:r w:rsidRPr="007015E0">
        <w:t>.</w:t>
      </w:r>
      <w:r w:rsidRPr="003015C7">
        <w:t xml:space="preserve"> </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 xml:space="preserve">Son action se manifestera aussi bien sur les germes indésirables que sur ceux qui sont indispensables au bon déroulement de la fermentation. Il est donc rarement utilisé pour son activité inhibitrice. D’autre part, son action oxydante peut avoir un effet néfaste sur la santé humaine </w:t>
      </w:r>
      <w:r w:rsidRPr="007015E0">
        <w:rPr>
          <w:color w:val="0000FF"/>
        </w:rPr>
        <w:t xml:space="preserve">(Zalan </w:t>
      </w:r>
      <w:r w:rsidRPr="007015E0">
        <w:rPr>
          <w:i/>
          <w:iCs/>
          <w:color w:val="0000FF"/>
        </w:rPr>
        <w:t>et al.</w:t>
      </w:r>
      <w:r w:rsidRPr="007015E0">
        <w:rPr>
          <w:color w:val="0000FF"/>
        </w:rPr>
        <w:t>, 2005)</w:t>
      </w:r>
      <w:r w:rsidRPr="007015E0">
        <w:t>.</w:t>
      </w:r>
    </w:p>
    <w:p w:rsidR="00582946" w:rsidRPr="00A54237" w:rsidRDefault="00582946" w:rsidP="00582946">
      <w:pPr>
        <w:autoSpaceDE w:val="0"/>
        <w:autoSpaceDN w:val="0"/>
        <w:adjustRightInd w:val="0"/>
        <w:spacing w:before="120" w:after="120" w:line="360" w:lineRule="auto"/>
        <w:ind w:firstLine="708"/>
        <w:jc w:val="both"/>
        <w:rPr>
          <w:b/>
          <w:bCs/>
          <w:color w:val="FF0000"/>
        </w:rPr>
      </w:pPr>
      <w:r w:rsidRPr="00A916D5">
        <w:rPr>
          <w:b/>
        </w:rPr>
        <w:t>I.1</w:t>
      </w:r>
      <w:r>
        <w:rPr>
          <w:b/>
        </w:rPr>
        <w:t xml:space="preserve">.5. </w:t>
      </w:r>
      <w:r w:rsidRPr="001A73B7">
        <w:rPr>
          <w:b/>
          <w:bCs/>
        </w:rPr>
        <w:t>Le dioxyde de carbone</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Celui-ci est formé pendant la fermentation hétérolactique et crée un environnement</w:t>
      </w:r>
      <w:r>
        <w:t xml:space="preserve"> </w:t>
      </w:r>
      <w:r w:rsidRPr="003015C7">
        <w:t>anaérobie qui inhibe les microorganismes aérobies. L’accumulation de dioxyde de carbone</w:t>
      </w:r>
      <w:r>
        <w:t xml:space="preserve"> </w:t>
      </w:r>
      <w:r w:rsidRPr="003015C7">
        <w:t xml:space="preserve">dans la bicouche lipidique peut causer un dysfonctionnement de la perméabilité </w:t>
      </w:r>
      <w:r w:rsidRPr="007015E0">
        <w:rPr>
          <w:color w:val="0000FF"/>
        </w:rPr>
        <w:t xml:space="preserve">(Ammor </w:t>
      </w:r>
      <w:r w:rsidRPr="007015E0">
        <w:rPr>
          <w:i/>
          <w:iCs/>
          <w:color w:val="0000FF"/>
        </w:rPr>
        <w:t xml:space="preserve">et al., </w:t>
      </w:r>
      <w:r w:rsidRPr="007015E0">
        <w:rPr>
          <w:color w:val="0000FF"/>
        </w:rPr>
        <w:t>2006)</w:t>
      </w:r>
      <w:r w:rsidRPr="007015E0">
        <w:t>.</w:t>
      </w:r>
    </w:p>
    <w:p w:rsidR="00582946" w:rsidRPr="00A54237" w:rsidRDefault="00582946" w:rsidP="00582946">
      <w:pPr>
        <w:autoSpaceDE w:val="0"/>
        <w:autoSpaceDN w:val="0"/>
        <w:adjustRightInd w:val="0"/>
        <w:spacing w:before="120" w:after="120" w:line="360" w:lineRule="auto"/>
        <w:ind w:firstLine="708"/>
        <w:jc w:val="both"/>
        <w:rPr>
          <w:b/>
          <w:bCs/>
          <w:color w:val="FF0000"/>
        </w:rPr>
      </w:pPr>
      <w:r w:rsidRPr="00A916D5">
        <w:rPr>
          <w:b/>
        </w:rPr>
        <w:t>I.1</w:t>
      </w:r>
      <w:r>
        <w:rPr>
          <w:b/>
        </w:rPr>
        <w:t xml:space="preserve">.6. </w:t>
      </w:r>
      <w:r w:rsidRPr="001A73B7">
        <w:rPr>
          <w:b/>
          <w:bCs/>
        </w:rPr>
        <w:t>Le diacétyl</w:t>
      </w:r>
    </w:p>
    <w:p w:rsidR="00582946" w:rsidRDefault="00582946" w:rsidP="00582946">
      <w:pPr>
        <w:autoSpaceDE w:val="0"/>
        <w:autoSpaceDN w:val="0"/>
        <w:adjustRightInd w:val="0"/>
        <w:spacing w:before="120" w:after="120" w:line="360" w:lineRule="auto"/>
        <w:ind w:firstLine="708"/>
        <w:jc w:val="both"/>
      </w:pPr>
      <w:r w:rsidRPr="003015C7">
        <w:t xml:space="preserve">Il est synthétisé par différents genres de bactéries lactiques comme </w:t>
      </w:r>
      <w:r w:rsidRPr="003015C7">
        <w:rPr>
          <w:i/>
          <w:iCs/>
        </w:rPr>
        <w:t xml:space="preserve">Lactococcus </w:t>
      </w:r>
      <w:r w:rsidRPr="003015C7">
        <w:t>sp.,</w:t>
      </w:r>
      <w:r>
        <w:t xml:space="preserve"> </w:t>
      </w:r>
      <w:r w:rsidRPr="003015C7">
        <w:rPr>
          <w:i/>
          <w:iCs/>
        </w:rPr>
        <w:t xml:space="preserve">Leuconostoc </w:t>
      </w:r>
      <w:r w:rsidRPr="003015C7">
        <w:t xml:space="preserve">sp., </w:t>
      </w:r>
      <w:r w:rsidRPr="003015C7">
        <w:rPr>
          <w:i/>
          <w:iCs/>
        </w:rPr>
        <w:t xml:space="preserve">Lactobacillus </w:t>
      </w:r>
      <w:r w:rsidRPr="003015C7">
        <w:t xml:space="preserve">sp. et </w:t>
      </w:r>
      <w:r w:rsidRPr="003015C7">
        <w:rPr>
          <w:i/>
          <w:iCs/>
        </w:rPr>
        <w:t xml:space="preserve">Pediococcus </w:t>
      </w:r>
      <w:r w:rsidRPr="003015C7">
        <w:t>sp. Le diacétyl (C4H6O2) est un des</w:t>
      </w:r>
      <w:r>
        <w:t xml:space="preserve"> </w:t>
      </w:r>
      <w:r w:rsidRPr="003015C7">
        <w:t>composants aromatiques essentiels du beurre. Il a des propriétés antimicrobiennes qui sont</w:t>
      </w:r>
      <w:r>
        <w:t xml:space="preserve"> </w:t>
      </w:r>
      <w:r w:rsidRPr="003015C7">
        <w:t>dirigées contre les levures, les bactéries Gram-négatif et les bactéries Gram-positif non</w:t>
      </w:r>
      <w:r>
        <w:t xml:space="preserve"> </w:t>
      </w:r>
      <w:r w:rsidRPr="003015C7">
        <w:t xml:space="preserve">lactiques, ces dernières y sont néanmoins moins sensibles </w:t>
      </w:r>
      <w:r w:rsidRPr="007015E0">
        <w:rPr>
          <w:color w:val="0000FF"/>
        </w:rPr>
        <w:t xml:space="preserve">(El Ziney </w:t>
      </w:r>
      <w:r w:rsidRPr="007015E0">
        <w:rPr>
          <w:i/>
          <w:iCs/>
          <w:color w:val="0000FF"/>
        </w:rPr>
        <w:t xml:space="preserve">et al., </w:t>
      </w:r>
      <w:r w:rsidRPr="007015E0">
        <w:rPr>
          <w:color w:val="0000FF"/>
        </w:rPr>
        <w:t>1998)</w:t>
      </w:r>
      <w:r w:rsidRPr="007015E0">
        <w:t xml:space="preserve">. </w:t>
      </w:r>
    </w:p>
    <w:p w:rsidR="00582946" w:rsidRPr="00A54237" w:rsidRDefault="00582946" w:rsidP="00582946">
      <w:pPr>
        <w:autoSpaceDE w:val="0"/>
        <w:autoSpaceDN w:val="0"/>
        <w:adjustRightInd w:val="0"/>
        <w:spacing w:before="120" w:after="120" w:line="360" w:lineRule="auto"/>
        <w:ind w:firstLine="708"/>
        <w:jc w:val="both"/>
        <w:rPr>
          <w:b/>
          <w:bCs/>
          <w:color w:val="FF0000"/>
        </w:rPr>
      </w:pPr>
      <w:r w:rsidRPr="00A916D5">
        <w:rPr>
          <w:b/>
        </w:rPr>
        <w:t>I.1</w:t>
      </w:r>
      <w:r>
        <w:rPr>
          <w:b/>
        </w:rPr>
        <w:t>.7</w:t>
      </w:r>
      <w:r w:rsidRPr="001A73B7">
        <w:rPr>
          <w:b/>
        </w:rPr>
        <w:t>.</w:t>
      </w:r>
      <w:r w:rsidRPr="001A73B7">
        <w:rPr>
          <w:b/>
          <w:bCs/>
        </w:rPr>
        <w:t>La reutérine</w:t>
      </w:r>
    </w:p>
    <w:p w:rsidR="00582946" w:rsidRDefault="00582946" w:rsidP="00582946">
      <w:pPr>
        <w:autoSpaceDE w:val="0"/>
        <w:autoSpaceDN w:val="0"/>
        <w:adjustRightInd w:val="0"/>
        <w:spacing w:before="120" w:after="120" w:line="360" w:lineRule="auto"/>
        <w:ind w:firstLine="708"/>
        <w:jc w:val="both"/>
        <w:rPr>
          <w:color w:val="FF0000"/>
        </w:rPr>
      </w:pPr>
      <w:r w:rsidRPr="003015C7">
        <w:t>La reutérine (ou 3-hydroxypropionaldehyde) est une substance antimicrobienne qui est</w:t>
      </w:r>
      <w:r>
        <w:t xml:space="preserve"> </w:t>
      </w:r>
      <w:r w:rsidRPr="003015C7">
        <w:t>produite comme métabolite intermédiaire pendant la fermentation anaérobique du glycérol par</w:t>
      </w:r>
      <w:r>
        <w:t xml:space="preserve"> </w:t>
      </w:r>
      <w:r w:rsidRPr="003015C7">
        <w:t xml:space="preserve">certaines espèces de </w:t>
      </w:r>
      <w:r w:rsidRPr="003015C7">
        <w:rPr>
          <w:i/>
          <w:iCs/>
        </w:rPr>
        <w:t xml:space="preserve">Lactobacillus </w:t>
      </w:r>
      <w:r w:rsidRPr="003015C7">
        <w:t>ainsi que par d’autres genres bactériens non lactiques tels</w:t>
      </w:r>
      <w:r>
        <w:t xml:space="preserve"> </w:t>
      </w:r>
      <w:r w:rsidRPr="003015C7">
        <w:t xml:space="preserve">que </w:t>
      </w:r>
      <w:r w:rsidRPr="003015C7">
        <w:rPr>
          <w:i/>
          <w:iCs/>
        </w:rPr>
        <w:t>Bacillus</w:t>
      </w:r>
      <w:r w:rsidRPr="003015C7">
        <w:t xml:space="preserve">, </w:t>
      </w:r>
      <w:r w:rsidRPr="003015C7">
        <w:rPr>
          <w:i/>
          <w:iCs/>
        </w:rPr>
        <w:t>Klebsiella</w:t>
      </w:r>
      <w:r w:rsidRPr="003015C7">
        <w:t xml:space="preserve">, </w:t>
      </w:r>
      <w:r w:rsidRPr="003015C7">
        <w:rPr>
          <w:i/>
          <w:iCs/>
        </w:rPr>
        <w:t>Citrobacter</w:t>
      </w:r>
      <w:r w:rsidRPr="003015C7">
        <w:t xml:space="preserve">, </w:t>
      </w:r>
      <w:r w:rsidRPr="003015C7">
        <w:rPr>
          <w:i/>
          <w:iCs/>
        </w:rPr>
        <w:t xml:space="preserve">Enterobacter </w:t>
      </w:r>
      <w:r w:rsidRPr="003015C7">
        <w:t xml:space="preserve">et </w:t>
      </w:r>
      <w:r w:rsidRPr="003015C7">
        <w:rPr>
          <w:i/>
          <w:iCs/>
        </w:rPr>
        <w:t xml:space="preserve">Clostridium </w:t>
      </w:r>
      <w:r w:rsidRPr="007015E0">
        <w:rPr>
          <w:color w:val="0000FF"/>
        </w:rPr>
        <w:t xml:space="preserve">(El-Ziney </w:t>
      </w:r>
      <w:r w:rsidRPr="007015E0">
        <w:rPr>
          <w:i/>
          <w:iCs/>
          <w:color w:val="0000FF"/>
        </w:rPr>
        <w:t>et al.</w:t>
      </w:r>
      <w:r w:rsidRPr="007015E0">
        <w:rPr>
          <w:color w:val="0000FF"/>
        </w:rPr>
        <w:t>, 1998)</w:t>
      </w:r>
      <w:r w:rsidRPr="007015E0">
        <w:t>.</w:t>
      </w:r>
      <w:r w:rsidRPr="003015C7">
        <w:rPr>
          <w:color w:val="FF0000"/>
        </w:rPr>
        <w:t xml:space="preserve"> </w:t>
      </w:r>
    </w:p>
    <w:p w:rsidR="00582946" w:rsidRPr="003015C7" w:rsidRDefault="00582946" w:rsidP="00582946">
      <w:pPr>
        <w:autoSpaceDE w:val="0"/>
        <w:autoSpaceDN w:val="0"/>
        <w:adjustRightInd w:val="0"/>
        <w:spacing w:before="120" w:after="120" w:line="360" w:lineRule="auto"/>
        <w:ind w:firstLine="708"/>
        <w:jc w:val="both"/>
      </w:pPr>
      <w:r w:rsidRPr="003015C7">
        <w:t>La</w:t>
      </w:r>
      <w:r>
        <w:t xml:space="preserve"> </w:t>
      </w:r>
      <w:r w:rsidRPr="003015C7">
        <w:t>fermentation du glycérol se déroule en deux étapes. Le glycérol sera tout d’abord déshydraté</w:t>
      </w:r>
      <w:r>
        <w:t xml:space="preserve"> </w:t>
      </w:r>
      <w:r w:rsidRPr="003015C7">
        <w:t>par une « glycerol deshydratase » pour former de la reutérine qui sera ensuite réduite en 1,3-</w:t>
      </w:r>
      <w:r>
        <w:t xml:space="preserve"> </w:t>
      </w:r>
      <w:r w:rsidRPr="003015C7">
        <w:t xml:space="preserve">propanediol par une oxydoréductase.  Cette deuxième étape est inhibée en l’absence de glucose. </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La reutérine s’accumule alors dans le microorganisme producteur. A haute</w:t>
      </w:r>
      <w:r>
        <w:t xml:space="preserve"> </w:t>
      </w:r>
      <w:r w:rsidRPr="003015C7">
        <w:t xml:space="preserve">concentration, elle est excrétée dans le milieu. Sa toxicité contre la cellule productrice </w:t>
      </w:r>
      <w:r w:rsidRPr="003015C7">
        <w:lastRenderedPageBreak/>
        <w:t>limite</w:t>
      </w:r>
      <w:r>
        <w:t xml:space="preserve"> </w:t>
      </w:r>
      <w:r w:rsidRPr="003015C7">
        <w:t xml:space="preserve">sa production, certaines espèces comme </w:t>
      </w:r>
      <w:r w:rsidRPr="003015C7">
        <w:rPr>
          <w:i/>
          <w:iCs/>
        </w:rPr>
        <w:t xml:space="preserve">Lactobacillus reuteri </w:t>
      </w:r>
      <w:r w:rsidRPr="003015C7">
        <w:t>y sont plus résistantes</w:t>
      </w:r>
      <w:r>
        <w:t xml:space="preserve"> </w:t>
      </w:r>
      <w:r w:rsidRPr="007015E0">
        <w:rPr>
          <w:color w:val="0000FF"/>
        </w:rPr>
        <w:t>(Vollenweider, 2004)</w:t>
      </w:r>
      <w:r w:rsidRPr="007015E0">
        <w:t>.</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La reutérine a un large spectre d’activité. Elle a une action contre les procaryotes</w:t>
      </w:r>
      <w:r>
        <w:t xml:space="preserve"> </w:t>
      </w:r>
      <w:r w:rsidRPr="003015C7">
        <w:t>(Gram-positif ou Gram-négatif), les eucaryotes, les virus, les champignons et les protozoaires.</w:t>
      </w:r>
      <w:r>
        <w:t xml:space="preserve"> </w:t>
      </w:r>
      <w:r w:rsidRPr="003015C7">
        <w:t>Elle interfère avec la réplication de l’ADN. Elle a des applications aussi bien dans le domaine</w:t>
      </w:r>
      <w:r>
        <w:t xml:space="preserve"> </w:t>
      </w:r>
      <w:r w:rsidRPr="003015C7">
        <w:t xml:space="preserve">médical que dans le domaine alimentaire </w:t>
      </w:r>
      <w:r w:rsidRPr="007015E0">
        <w:rPr>
          <w:color w:val="0000FF"/>
        </w:rPr>
        <w:t>(Vollenweider, 2004)</w:t>
      </w:r>
      <w:r w:rsidRPr="007015E0">
        <w:t>.</w:t>
      </w:r>
    </w:p>
    <w:p w:rsidR="00582946" w:rsidRPr="00A54237" w:rsidRDefault="00582946" w:rsidP="00582946">
      <w:pPr>
        <w:autoSpaceDE w:val="0"/>
        <w:autoSpaceDN w:val="0"/>
        <w:adjustRightInd w:val="0"/>
        <w:spacing w:before="120" w:after="120" w:line="360" w:lineRule="auto"/>
        <w:ind w:firstLine="708"/>
        <w:jc w:val="both"/>
        <w:rPr>
          <w:b/>
          <w:bCs/>
          <w:color w:val="FF0000"/>
        </w:rPr>
      </w:pPr>
      <w:r w:rsidRPr="00A916D5">
        <w:rPr>
          <w:b/>
        </w:rPr>
        <w:t>I.1</w:t>
      </w:r>
      <w:r>
        <w:rPr>
          <w:b/>
        </w:rPr>
        <w:t>.8</w:t>
      </w:r>
      <w:r w:rsidRPr="001A73B7">
        <w:rPr>
          <w:b/>
        </w:rPr>
        <w:t>.</w:t>
      </w:r>
      <w:r>
        <w:rPr>
          <w:b/>
        </w:rPr>
        <w:t xml:space="preserve"> </w:t>
      </w:r>
      <w:r w:rsidRPr="001A73B7">
        <w:rPr>
          <w:b/>
          <w:bCs/>
        </w:rPr>
        <w:t>Les bactériocines</w:t>
      </w:r>
    </w:p>
    <w:p w:rsidR="00582946" w:rsidRPr="00F85104" w:rsidRDefault="00582946" w:rsidP="00582946">
      <w:pPr>
        <w:autoSpaceDE w:val="0"/>
        <w:autoSpaceDN w:val="0"/>
        <w:adjustRightInd w:val="0"/>
        <w:spacing w:before="120" w:after="120" w:line="360" w:lineRule="auto"/>
        <w:ind w:firstLine="708"/>
        <w:jc w:val="both"/>
      </w:pPr>
      <w:r>
        <w:t xml:space="preserve">Les bactéries lactiques sont connues par leur capacité d’inhiber dans les aliments le développement de bactéries pathogènes  et de détérioration. Cette capacité d’antagonisme est attribuée à la production de métabolites antimicrobiens tels que les bactériocines. </w:t>
      </w:r>
      <w:r w:rsidRPr="00F85104">
        <w:rPr>
          <w:color w:val="0033CC"/>
        </w:rPr>
        <w:t xml:space="preserve">Achemchem </w:t>
      </w:r>
      <w:r w:rsidRPr="00C57872">
        <w:rPr>
          <w:i/>
          <w:iCs/>
          <w:color w:val="0033CC"/>
        </w:rPr>
        <w:t>et al</w:t>
      </w:r>
      <w:r w:rsidRPr="00F85104">
        <w:rPr>
          <w:color w:val="0033CC"/>
        </w:rPr>
        <w:t>., 2004</w:t>
      </w:r>
      <w:r>
        <w:t xml:space="preserve"> ont purifiés et caractérisés une bactériocine anti- </w:t>
      </w:r>
      <w:r w:rsidRPr="00F85104">
        <w:rPr>
          <w:i/>
          <w:iCs/>
        </w:rPr>
        <w:t>listeria</w:t>
      </w:r>
      <w:r>
        <w:rPr>
          <w:i/>
          <w:iCs/>
        </w:rPr>
        <w:t xml:space="preserve"> </w:t>
      </w:r>
      <w:r>
        <w:t xml:space="preserve">produite par </w:t>
      </w:r>
      <w:r w:rsidRPr="00F85104">
        <w:rPr>
          <w:i/>
          <w:iCs/>
        </w:rPr>
        <w:t>Enterococcus faecium</w:t>
      </w:r>
      <w:r>
        <w:rPr>
          <w:i/>
          <w:iCs/>
        </w:rPr>
        <w:t xml:space="preserve"> </w:t>
      </w:r>
      <w:r>
        <w:t>F  -420 isolé à partir de lait cru de chèvre.</w:t>
      </w:r>
    </w:p>
    <w:p w:rsidR="00582946" w:rsidRPr="003015C7" w:rsidRDefault="00582946" w:rsidP="00582946">
      <w:pPr>
        <w:autoSpaceDE w:val="0"/>
        <w:autoSpaceDN w:val="0"/>
        <w:adjustRightInd w:val="0"/>
        <w:spacing w:before="120" w:after="120" w:line="360" w:lineRule="auto"/>
        <w:ind w:firstLine="708"/>
        <w:jc w:val="both"/>
        <w:rPr>
          <w:b/>
          <w:bCs/>
          <w:color w:val="FF0000"/>
        </w:rPr>
      </w:pPr>
      <w:r w:rsidRPr="00A916D5">
        <w:rPr>
          <w:b/>
        </w:rPr>
        <w:t>I.</w:t>
      </w:r>
      <w:r>
        <w:rPr>
          <w:b/>
        </w:rPr>
        <w:t>2</w:t>
      </w:r>
      <w:r w:rsidRPr="00A916D5">
        <w:rPr>
          <w:b/>
        </w:rPr>
        <w:t xml:space="preserve">. </w:t>
      </w:r>
      <w:r w:rsidRPr="00C562C6">
        <w:rPr>
          <w:b/>
          <w:bCs/>
        </w:rPr>
        <w:t xml:space="preserve">L’activité antimicrobien des </w:t>
      </w:r>
      <w:r>
        <w:rPr>
          <w:b/>
          <w:bCs/>
        </w:rPr>
        <w:t xml:space="preserve">bifidobactéries </w:t>
      </w:r>
      <w:r w:rsidRPr="003E092F">
        <w:rPr>
          <w:b/>
          <w:bCs/>
          <w:color w:val="FF0000"/>
        </w:rPr>
        <w:t xml:space="preserve"> </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 xml:space="preserve">Les bactéries appartenant au genre </w:t>
      </w:r>
      <w:r w:rsidRPr="003015C7">
        <w:rPr>
          <w:i/>
          <w:iCs/>
        </w:rPr>
        <w:t xml:space="preserve">Bifidobacterium </w:t>
      </w:r>
      <w:r w:rsidRPr="003015C7">
        <w:t>sont des bactéries Gram positif</w:t>
      </w:r>
      <w:r>
        <w:t xml:space="preserve"> </w:t>
      </w:r>
      <w:r w:rsidRPr="003015C7">
        <w:t xml:space="preserve">se présentant au microscope sous forme de bâtonnets de différentes formes </w:t>
      </w:r>
      <w:r w:rsidRPr="007015E0">
        <w:rPr>
          <w:color w:val="0000FF"/>
        </w:rPr>
        <w:t>(Scardovi, 1986)</w:t>
      </w:r>
      <w:r w:rsidRPr="007015E0">
        <w:t>.</w:t>
      </w:r>
    </w:p>
    <w:p w:rsidR="00582946" w:rsidRPr="003015C7" w:rsidRDefault="00582946" w:rsidP="00582946">
      <w:pPr>
        <w:autoSpaceDE w:val="0"/>
        <w:autoSpaceDN w:val="0"/>
        <w:adjustRightInd w:val="0"/>
        <w:spacing w:before="120" w:after="120" w:line="360" w:lineRule="auto"/>
        <w:ind w:firstLine="708"/>
        <w:jc w:val="both"/>
      </w:pPr>
      <w:r w:rsidRPr="003015C7">
        <w:t xml:space="preserve"> Ces formes peuvent varier de courtes à longues avec de nombreuses variations au</w:t>
      </w:r>
      <w:r>
        <w:t xml:space="preserve"> </w:t>
      </w:r>
      <w:r w:rsidRPr="003015C7">
        <w:t>niveau de leurs extrémités. Ces bâtonnets peuvent se retrouver seuls ou associés selon</w:t>
      </w:r>
      <w:r>
        <w:t xml:space="preserve"> </w:t>
      </w:r>
      <w:r w:rsidRPr="003015C7">
        <w:t xml:space="preserve">différentes configurations, selon les espèces. </w:t>
      </w:r>
    </w:p>
    <w:p w:rsidR="00582946" w:rsidRPr="003015C7" w:rsidRDefault="00582946" w:rsidP="00582946">
      <w:pPr>
        <w:autoSpaceDE w:val="0"/>
        <w:autoSpaceDN w:val="0"/>
        <w:adjustRightInd w:val="0"/>
        <w:spacing w:before="120" w:after="120" w:line="360" w:lineRule="auto"/>
        <w:ind w:firstLine="708"/>
        <w:jc w:val="both"/>
      </w:pPr>
      <w:r w:rsidRPr="003015C7">
        <w:t xml:space="preserve">Ces configurations peuvent même aider à l'identification de l'espèce des bifidobactéries. Ces bactéries sont non mobiles et ne forment pas de spores. Elles sont de plus anaérobes malgré que certaines souches peuvent tolérer l'oxygène, mais seulement en présence de gaz carbonique (CO2). </w:t>
      </w:r>
    </w:p>
    <w:p w:rsidR="00582946" w:rsidRPr="003015C7" w:rsidRDefault="00582946" w:rsidP="00582946">
      <w:pPr>
        <w:autoSpaceDE w:val="0"/>
        <w:autoSpaceDN w:val="0"/>
        <w:adjustRightInd w:val="0"/>
        <w:spacing w:before="120" w:after="120" w:line="360" w:lineRule="auto"/>
        <w:ind w:firstLine="708"/>
        <w:jc w:val="both"/>
      </w:pPr>
      <w:r w:rsidRPr="003015C7">
        <w:t xml:space="preserve">Leur température optimale de croissance se situe entre </w:t>
      </w:r>
      <w:smartTag w:uri="urn:schemas-microsoft-com:office:smarttags" w:element="metricconverter">
        <w:smartTagPr>
          <w:attr w:name="ProductID" w:val="37ﾰC"/>
        </w:smartTagPr>
        <w:r w:rsidRPr="003015C7">
          <w:t>37°C</w:t>
        </w:r>
      </w:smartTag>
      <w:r w:rsidRPr="003015C7">
        <w:t xml:space="preserve"> et </w:t>
      </w:r>
      <w:smartTag w:uri="urn:schemas-microsoft-com:office:smarttags" w:element="metricconverter">
        <w:smartTagPr>
          <w:attr w:name="ProductID" w:val="41ﾰC"/>
        </w:smartTagPr>
        <w:r w:rsidRPr="003015C7">
          <w:t>41°C</w:t>
        </w:r>
      </w:smartTag>
      <w:r w:rsidRPr="003015C7">
        <w:t xml:space="preserve"> avec des limites à </w:t>
      </w:r>
      <w:smartTag w:uri="urn:schemas-microsoft-com:office:smarttags" w:element="metricconverter">
        <w:smartTagPr>
          <w:attr w:name="ProductID" w:val="25ﾰC"/>
        </w:smartTagPr>
        <w:r w:rsidRPr="003015C7">
          <w:t>25°C</w:t>
        </w:r>
      </w:smartTag>
      <w:r w:rsidRPr="003015C7">
        <w:t xml:space="preserve"> et </w:t>
      </w:r>
      <w:smartTag w:uri="urn:schemas-microsoft-com:office:smarttags" w:element="metricconverter">
        <w:smartTagPr>
          <w:attr w:name="ProductID" w:val="46ﾰC"/>
        </w:smartTagPr>
        <w:r w:rsidRPr="003015C7">
          <w:t>46°C</w:t>
        </w:r>
      </w:smartTag>
      <w:r w:rsidRPr="003015C7">
        <w:t>. Pour ce qui est du pH, leur croissance est optimale à des valeurs situées entre 6</w:t>
      </w:r>
      <w:r>
        <w:t>.</w:t>
      </w:r>
      <w:r w:rsidRPr="003015C7">
        <w:t>5 et 7. Certaines souches peuvent croître à pH 4,0 mais aucune croissance n'est détectée pour des valeurs de pH comprises entre 8</w:t>
      </w:r>
      <w:r>
        <w:t>.</w:t>
      </w:r>
      <w:r w:rsidRPr="003015C7">
        <w:t>0 et 8</w:t>
      </w:r>
      <w:r>
        <w:t>.</w:t>
      </w:r>
      <w:r w:rsidRPr="003015C7">
        <w:t>5.</w:t>
      </w:r>
    </w:p>
    <w:p w:rsidR="00582946" w:rsidRDefault="00582946" w:rsidP="00582946">
      <w:pPr>
        <w:autoSpaceDE w:val="0"/>
        <w:autoSpaceDN w:val="0"/>
        <w:adjustRightInd w:val="0"/>
        <w:spacing w:before="120" w:after="120" w:line="360" w:lineRule="auto"/>
        <w:ind w:firstLine="708"/>
        <w:jc w:val="both"/>
      </w:pPr>
      <w:r w:rsidRPr="003015C7">
        <w:t>Les bifidobactéries sont hétérofermentaires. Elles ont le matériel enzymatique leur</w:t>
      </w:r>
      <w:r>
        <w:t xml:space="preserve"> </w:t>
      </w:r>
      <w:r w:rsidRPr="003015C7">
        <w:t>permettant de fermenter de nombreux hexoses pour produire de l'acide lactique et de</w:t>
      </w:r>
      <w:r>
        <w:t xml:space="preserve"> </w:t>
      </w:r>
      <w:r w:rsidRPr="003015C7">
        <w:t xml:space="preserve">l'acide acétique dans un ratio molaire de 2:3. </w:t>
      </w:r>
    </w:p>
    <w:p w:rsidR="00582946" w:rsidRPr="003015C7" w:rsidRDefault="00582946" w:rsidP="00582946">
      <w:pPr>
        <w:autoSpaceDE w:val="0"/>
        <w:autoSpaceDN w:val="0"/>
        <w:adjustRightInd w:val="0"/>
        <w:spacing w:before="120" w:after="120" w:line="360" w:lineRule="auto"/>
        <w:ind w:firstLine="708"/>
        <w:jc w:val="both"/>
      </w:pPr>
      <w:r w:rsidRPr="003015C7">
        <w:lastRenderedPageBreak/>
        <w:t>Cette fermentation n'amène pas de production</w:t>
      </w:r>
      <w:r>
        <w:t xml:space="preserve"> </w:t>
      </w:r>
      <w:r w:rsidRPr="003015C7">
        <w:t>de CO</w:t>
      </w:r>
      <w:r w:rsidRPr="00A54237">
        <w:rPr>
          <w:vertAlign w:val="subscript"/>
        </w:rPr>
        <w:t>2</w:t>
      </w:r>
      <w:r w:rsidRPr="003015C7">
        <w:t>. Comme source d'azote, les bifidobactéries ont la capacité d'utiliser les sels</w:t>
      </w:r>
      <w:r>
        <w:t xml:space="preserve"> </w:t>
      </w:r>
      <w:r w:rsidRPr="003015C7">
        <w:t xml:space="preserve">d'ammonium. Jusqu'à maintenant, 33 espèces du genre </w:t>
      </w:r>
      <w:r w:rsidRPr="003015C7">
        <w:rPr>
          <w:i/>
          <w:iCs/>
        </w:rPr>
        <w:t xml:space="preserve">Bifidobacterium </w:t>
      </w:r>
      <w:r w:rsidRPr="003015C7">
        <w:t xml:space="preserve">ont été décrites dans la littérature </w:t>
      </w:r>
      <w:r w:rsidRPr="007015E0">
        <w:rPr>
          <w:color w:val="0000FF"/>
        </w:rPr>
        <w:t xml:space="preserve">(Scardovi, 1986 ; Biavati </w:t>
      </w:r>
      <w:r w:rsidRPr="007015E0">
        <w:rPr>
          <w:i/>
          <w:iCs/>
          <w:color w:val="0000FF"/>
        </w:rPr>
        <w:t>et al</w:t>
      </w:r>
      <w:r w:rsidRPr="007015E0">
        <w:rPr>
          <w:color w:val="0000FF"/>
        </w:rPr>
        <w:t xml:space="preserve">., 1991; Biavati et Mattarelli, 1991 ; Crociani </w:t>
      </w:r>
      <w:r w:rsidRPr="007015E0">
        <w:rPr>
          <w:i/>
          <w:iCs/>
          <w:color w:val="0000FF"/>
        </w:rPr>
        <w:t>et al</w:t>
      </w:r>
      <w:r w:rsidRPr="007015E0">
        <w:rPr>
          <w:color w:val="0000FF"/>
        </w:rPr>
        <w:t xml:space="preserve">., 1996 </w:t>
      </w:r>
      <w:r>
        <w:rPr>
          <w:color w:val="0000FF"/>
        </w:rPr>
        <w:t xml:space="preserve">) </w:t>
      </w:r>
      <w:r w:rsidRPr="00101BBD">
        <w:rPr>
          <w:color w:val="0000FF"/>
        </w:rPr>
        <w:t xml:space="preserve">Le tableau </w:t>
      </w:r>
      <w:r>
        <w:rPr>
          <w:color w:val="0000FF"/>
        </w:rPr>
        <w:t>1</w:t>
      </w:r>
      <w:r w:rsidRPr="003015C7">
        <w:t xml:space="preserve"> présente la liste de ces espèces qui proviennent pour la grande majorité de</w:t>
      </w:r>
      <w:r>
        <w:t xml:space="preserve"> </w:t>
      </w:r>
      <w:r w:rsidRPr="003015C7">
        <w:t>l'intestin des humains et de nombreux animaux.</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Les bifidobactéries constituent la population dominante de la flore intestinale dès les</w:t>
      </w:r>
      <w:r>
        <w:t xml:space="preserve"> </w:t>
      </w:r>
      <w:r w:rsidRPr="003015C7">
        <w:t>premiers jours de la vie d'un humain et continuent de représenter une importante partie de</w:t>
      </w:r>
      <w:r>
        <w:t xml:space="preserve"> </w:t>
      </w:r>
      <w:r w:rsidRPr="003015C7">
        <w:t xml:space="preserve">cette flore tout au long de sa vie </w:t>
      </w:r>
      <w:r w:rsidRPr="007015E0">
        <w:rPr>
          <w:color w:val="0000FF"/>
        </w:rPr>
        <w:t>(</w:t>
      </w:r>
      <w:r>
        <w:rPr>
          <w:color w:val="0000FF"/>
        </w:rPr>
        <w:t>Lahtinen</w:t>
      </w:r>
      <w:r w:rsidRPr="007015E0">
        <w:rPr>
          <w:color w:val="0000FF"/>
        </w:rPr>
        <w:t xml:space="preserve"> </w:t>
      </w:r>
      <w:r w:rsidRPr="007015E0">
        <w:rPr>
          <w:i/>
          <w:iCs/>
          <w:color w:val="0000FF"/>
        </w:rPr>
        <w:t>et al</w:t>
      </w:r>
      <w:r w:rsidRPr="007015E0">
        <w:rPr>
          <w:color w:val="0000FF"/>
        </w:rPr>
        <w:t xml:space="preserve">., </w:t>
      </w:r>
      <w:r>
        <w:rPr>
          <w:color w:val="0000FF"/>
        </w:rPr>
        <w:t>2007)</w:t>
      </w:r>
    </w:p>
    <w:p w:rsidR="00582946" w:rsidRDefault="00582946" w:rsidP="00582946">
      <w:pPr>
        <w:autoSpaceDE w:val="0"/>
        <w:autoSpaceDN w:val="0"/>
        <w:adjustRightInd w:val="0"/>
        <w:spacing w:before="120" w:after="120" w:line="360" w:lineRule="auto"/>
        <w:ind w:firstLine="708"/>
        <w:jc w:val="both"/>
      </w:pPr>
      <w:r w:rsidRPr="003015C7">
        <w:t xml:space="preserve"> Parmi toutes les espèces de bifidobactéries, celles que l'on retrouve naturellement le plus souvent chez l'homme sont : </w:t>
      </w:r>
      <w:r w:rsidRPr="003015C7">
        <w:rPr>
          <w:i/>
          <w:iCs/>
        </w:rPr>
        <w:t>B. adolescentis, B. bifidum, B. br</w:t>
      </w:r>
      <w:r>
        <w:rPr>
          <w:i/>
          <w:iCs/>
        </w:rPr>
        <w:t>e</w:t>
      </w:r>
      <w:r w:rsidRPr="003015C7">
        <w:rPr>
          <w:i/>
          <w:iCs/>
        </w:rPr>
        <w:t xml:space="preserve">ve, B. infantis </w:t>
      </w:r>
      <w:r w:rsidRPr="003015C7">
        <w:t xml:space="preserve">(surtout chez les nouveaux-nés) et </w:t>
      </w:r>
      <w:r w:rsidRPr="003015C7">
        <w:rPr>
          <w:i/>
          <w:iCs/>
        </w:rPr>
        <w:t xml:space="preserve">B. longum </w:t>
      </w:r>
      <w:r w:rsidRPr="00076D9D">
        <w:rPr>
          <w:color w:val="0000FF"/>
        </w:rPr>
        <w:t>(</w:t>
      </w:r>
      <w:r w:rsidRPr="00BA7C35">
        <w:rPr>
          <w:color w:val="0000FF"/>
        </w:rPr>
        <w:t xml:space="preserve">Stanton et </w:t>
      </w:r>
      <w:r w:rsidRPr="00BA7C35">
        <w:rPr>
          <w:i/>
          <w:iCs/>
          <w:color w:val="0000FF"/>
        </w:rPr>
        <w:t xml:space="preserve">al., </w:t>
      </w:r>
      <w:r w:rsidRPr="00BA7C35">
        <w:rPr>
          <w:color w:val="0000FF"/>
        </w:rPr>
        <w:t>1998</w:t>
      </w:r>
      <w:r w:rsidRPr="00076D9D">
        <w:rPr>
          <w:color w:val="0000FF"/>
        </w:rPr>
        <w:t xml:space="preserve">). </w:t>
      </w:r>
      <w:r w:rsidRPr="003015C7">
        <w:t xml:space="preserve">Ces espèces, en plus de </w:t>
      </w:r>
      <w:r w:rsidRPr="003015C7">
        <w:rPr>
          <w:i/>
          <w:iCs/>
        </w:rPr>
        <w:t xml:space="preserve">B. animalis </w:t>
      </w:r>
      <w:r w:rsidRPr="003015C7">
        <w:t xml:space="preserve">et </w:t>
      </w:r>
      <w:r w:rsidRPr="003015C7">
        <w:rPr>
          <w:i/>
          <w:iCs/>
        </w:rPr>
        <w:t xml:space="preserve">B. lactis </w:t>
      </w:r>
      <w:r w:rsidRPr="003015C7">
        <w:t>sont toutes con</w:t>
      </w:r>
      <w:r>
        <w:t>sidérées comme des probiotiques.</w:t>
      </w:r>
    </w:p>
    <w:p w:rsidR="00582946" w:rsidRPr="003015C7" w:rsidRDefault="00582946" w:rsidP="00582946">
      <w:pPr>
        <w:autoSpaceDE w:val="0"/>
        <w:autoSpaceDN w:val="0"/>
        <w:adjustRightInd w:val="0"/>
        <w:spacing w:before="120" w:after="120" w:line="360" w:lineRule="auto"/>
        <w:ind w:firstLine="708"/>
        <w:jc w:val="both"/>
      </w:pPr>
    </w:p>
    <w:p w:rsidR="00582946" w:rsidRPr="003015C7" w:rsidRDefault="00582946" w:rsidP="00582946">
      <w:pPr>
        <w:autoSpaceDE w:val="0"/>
        <w:autoSpaceDN w:val="0"/>
        <w:adjustRightInd w:val="0"/>
        <w:spacing w:before="120" w:after="120"/>
        <w:ind w:left="1134" w:hanging="1134"/>
      </w:pPr>
      <w:r w:rsidRPr="00A54237">
        <w:rPr>
          <w:b/>
          <w:bCs/>
          <w:u w:val="single"/>
        </w:rPr>
        <w:t xml:space="preserve">Tableau </w:t>
      </w:r>
      <w:r>
        <w:rPr>
          <w:b/>
          <w:bCs/>
          <w:u w:val="single"/>
        </w:rPr>
        <w:t>1</w:t>
      </w:r>
      <w:r w:rsidRPr="00A54237">
        <w:rPr>
          <w:b/>
          <w:bCs/>
        </w:rPr>
        <w:t>:</w:t>
      </w:r>
      <w:r w:rsidRPr="003015C7">
        <w:rPr>
          <w:b/>
          <w:bCs/>
        </w:rPr>
        <w:t xml:space="preserve"> </w:t>
      </w:r>
      <w:r w:rsidRPr="003015C7">
        <w:t xml:space="preserve">Liste des espèces appartenant au genre </w:t>
      </w:r>
      <w:r w:rsidRPr="003015C7">
        <w:rPr>
          <w:i/>
          <w:iCs/>
        </w:rPr>
        <w:t xml:space="preserve">Bifidobacterium. </w:t>
      </w:r>
      <w:r w:rsidRPr="003015C7">
        <w:t xml:space="preserve">Adapté de </w:t>
      </w:r>
      <w:r w:rsidRPr="00B04226">
        <w:rPr>
          <w:color w:val="0000FF"/>
        </w:rPr>
        <w:t xml:space="preserve">Dong </w:t>
      </w:r>
      <w:r w:rsidRPr="00B04226">
        <w:rPr>
          <w:i/>
          <w:iCs/>
          <w:color w:val="0000FF"/>
        </w:rPr>
        <w:t>et al</w:t>
      </w:r>
      <w:r w:rsidRPr="00B04226">
        <w:rPr>
          <w:color w:val="0000FF"/>
        </w:rPr>
        <w:t>., 2000</w:t>
      </w:r>
      <w:r w:rsidRPr="003015C7">
        <w:t>.</w:t>
      </w:r>
    </w:p>
    <w:p w:rsidR="00582946" w:rsidRPr="003015C7" w:rsidRDefault="00582946" w:rsidP="00582946">
      <w:pPr>
        <w:autoSpaceDE w:val="0"/>
        <w:autoSpaceDN w:val="0"/>
        <w:adjustRightInd w:val="0"/>
        <w:spacing w:before="120" w:after="120" w:line="360" w:lineRule="auto"/>
        <w:ind w:firstLine="708"/>
        <w:jc w:val="both"/>
      </w:pPr>
    </w:p>
    <w:p w:rsidR="00582946" w:rsidRPr="003015C7" w:rsidRDefault="00582946" w:rsidP="00582946">
      <w:pPr>
        <w:autoSpaceDE w:val="0"/>
        <w:autoSpaceDN w:val="0"/>
        <w:adjustRightInd w:val="0"/>
        <w:spacing w:before="120" w:after="120" w:line="360" w:lineRule="auto"/>
        <w:ind w:firstLine="708"/>
        <w:jc w:val="both"/>
      </w:pPr>
      <w:r>
        <w:rPr>
          <w:noProof/>
        </w:rPr>
        <w:drawing>
          <wp:inline distT="0" distB="0" distL="0" distR="0">
            <wp:extent cx="4914900" cy="2400300"/>
            <wp:effectExtent l="19050" t="0" r="0" b="0"/>
            <wp:docPr id="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4914900" cy="2400300"/>
                    </a:xfrm>
                    <a:prstGeom prst="rect">
                      <a:avLst/>
                    </a:prstGeom>
                    <a:noFill/>
                    <a:ln w="9525">
                      <a:noFill/>
                      <a:miter lim="800000"/>
                      <a:headEnd/>
                      <a:tailEnd/>
                    </a:ln>
                  </pic:spPr>
                </pic:pic>
              </a:graphicData>
            </a:graphic>
          </wp:inline>
        </w:drawing>
      </w:r>
    </w:p>
    <w:p w:rsidR="00582946" w:rsidRPr="003015C7" w:rsidRDefault="00582946" w:rsidP="00582946">
      <w:pPr>
        <w:autoSpaceDE w:val="0"/>
        <w:autoSpaceDN w:val="0"/>
        <w:adjustRightInd w:val="0"/>
        <w:spacing w:before="120" w:after="120" w:line="360" w:lineRule="auto"/>
        <w:ind w:firstLine="708"/>
        <w:jc w:val="both"/>
        <w:rPr>
          <w:b/>
          <w:bCs/>
          <w:color w:val="FF0000"/>
        </w:rPr>
      </w:pPr>
      <w:r w:rsidRPr="00A916D5">
        <w:rPr>
          <w:b/>
        </w:rPr>
        <w:t>I.</w:t>
      </w:r>
      <w:r>
        <w:rPr>
          <w:b/>
        </w:rPr>
        <w:t>2</w:t>
      </w:r>
      <w:r w:rsidRPr="00A916D5">
        <w:rPr>
          <w:b/>
        </w:rPr>
        <w:t>.</w:t>
      </w:r>
      <w:r>
        <w:rPr>
          <w:b/>
        </w:rPr>
        <w:t>1</w:t>
      </w:r>
      <w:r w:rsidRPr="00A916D5">
        <w:rPr>
          <w:b/>
        </w:rPr>
        <w:t xml:space="preserve"> </w:t>
      </w:r>
      <w:r w:rsidRPr="001A73B7">
        <w:rPr>
          <w:b/>
          <w:bCs/>
        </w:rPr>
        <w:t>Les bifidobactéries comme probiotiques</w:t>
      </w:r>
    </w:p>
    <w:p w:rsidR="00582946" w:rsidRDefault="00582946" w:rsidP="00582946">
      <w:pPr>
        <w:autoSpaceDE w:val="0"/>
        <w:autoSpaceDN w:val="0"/>
        <w:adjustRightInd w:val="0"/>
        <w:spacing w:before="120" w:after="120" w:line="360" w:lineRule="auto"/>
        <w:ind w:firstLine="708"/>
        <w:jc w:val="both"/>
        <w:rPr>
          <w:color w:val="0000FF"/>
        </w:rPr>
      </w:pPr>
      <w:r w:rsidRPr="003015C7">
        <w:t>Plusieurs souches de bifidobactéries exercent certains effets probiotiques comme la</w:t>
      </w:r>
      <w:r>
        <w:t xml:space="preserve"> </w:t>
      </w:r>
      <w:r w:rsidRPr="003015C7">
        <w:t>réduction du cholestérol</w:t>
      </w:r>
      <w:r w:rsidRPr="007015E0">
        <w:t>,</w:t>
      </w:r>
      <w:r w:rsidRPr="003015C7">
        <w:rPr>
          <w:color w:val="FF0000"/>
        </w:rPr>
        <w:t xml:space="preserve"> </w:t>
      </w:r>
      <w:r w:rsidRPr="003015C7">
        <w:t>l'amélioration de l'intolérance au lactose</w:t>
      </w:r>
      <w:r w:rsidRPr="007015E0">
        <w:t>,</w:t>
      </w:r>
      <w:r w:rsidRPr="003015C7">
        <w:t xml:space="preserve"> la déconjugation des acides biliaires et la</w:t>
      </w:r>
      <w:r>
        <w:t xml:space="preserve"> </w:t>
      </w:r>
      <w:r w:rsidRPr="003015C7">
        <w:t xml:space="preserve">stimulation du système immunitaire </w:t>
      </w:r>
      <w:r w:rsidRPr="007015E0">
        <w:rPr>
          <w:color w:val="0000FF"/>
        </w:rPr>
        <w:t>(Amrouche, 2005</w:t>
      </w:r>
      <w:r>
        <w:rPr>
          <w:color w:val="0000FF"/>
        </w:rPr>
        <w:t>).</w:t>
      </w:r>
    </w:p>
    <w:p w:rsidR="00582946" w:rsidRPr="003015C7" w:rsidRDefault="00582946" w:rsidP="00582946">
      <w:pPr>
        <w:autoSpaceDE w:val="0"/>
        <w:autoSpaceDN w:val="0"/>
        <w:adjustRightInd w:val="0"/>
        <w:spacing w:before="120" w:after="120" w:line="360" w:lineRule="auto"/>
        <w:ind w:firstLine="708"/>
        <w:jc w:val="both"/>
        <w:rPr>
          <w:color w:val="FF0000"/>
        </w:rPr>
      </w:pPr>
      <w:r w:rsidRPr="007015E0">
        <w:rPr>
          <w:color w:val="0000FF"/>
        </w:rPr>
        <w:t xml:space="preserve"> </w:t>
      </w:r>
    </w:p>
    <w:p w:rsidR="00582946" w:rsidRDefault="00582946" w:rsidP="00582946">
      <w:pPr>
        <w:autoSpaceDE w:val="0"/>
        <w:autoSpaceDN w:val="0"/>
        <w:adjustRightInd w:val="0"/>
        <w:spacing w:before="120" w:after="120" w:line="360" w:lineRule="auto"/>
        <w:ind w:firstLine="708"/>
        <w:jc w:val="both"/>
        <w:rPr>
          <w:b/>
          <w:bCs/>
        </w:rPr>
      </w:pPr>
      <w:r w:rsidRPr="00A916D5">
        <w:rPr>
          <w:b/>
        </w:rPr>
        <w:lastRenderedPageBreak/>
        <w:t>I.</w:t>
      </w:r>
      <w:r>
        <w:rPr>
          <w:b/>
        </w:rPr>
        <w:t>2</w:t>
      </w:r>
      <w:r w:rsidRPr="00A916D5">
        <w:rPr>
          <w:b/>
        </w:rPr>
        <w:t>.</w:t>
      </w:r>
      <w:r>
        <w:rPr>
          <w:b/>
        </w:rPr>
        <w:t>2</w:t>
      </w:r>
      <w:r w:rsidRPr="00A916D5">
        <w:rPr>
          <w:b/>
        </w:rPr>
        <w:t xml:space="preserve"> </w:t>
      </w:r>
      <w:r w:rsidRPr="00FD0A7B">
        <w:rPr>
          <w:b/>
          <w:bCs/>
        </w:rPr>
        <w:t xml:space="preserve">Activité </w:t>
      </w:r>
      <w:r>
        <w:rPr>
          <w:b/>
          <w:bCs/>
        </w:rPr>
        <w:t xml:space="preserve">antimicrobiennes </w:t>
      </w:r>
      <w:r w:rsidRPr="00FD0A7B">
        <w:rPr>
          <w:b/>
          <w:bCs/>
        </w:rPr>
        <w:t xml:space="preserve">des bifidobactéries </w:t>
      </w:r>
    </w:p>
    <w:p w:rsidR="00582946" w:rsidRPr="003015C7" w:rsidRDefault="00582946" w:rsidP="00582946">
      <w:pPr>
        <w:autoSpaceDE w:val="0"/>
        <w:autoSpaceDN w:val="0"/>
        <w:adjustRightInd w:val="0"/>
        <w:spacing w:before="120" w:after="120" w:line="360" w:lineRule="auto"/>
        <w:ind w:firstLine="708"/>
        <w:jc w:val="both"/>
      </w:pPr>
      <w:r w:rsidRPr="003015C7">
        <w:t>Même si le nombre de rapports démontrant l'efficacité des bifidobactéries contre les</w:t>
      </w:r>
      <w:r>
        <w:t xml:space="preserve"> </w:t>
      </w:r>
      <w:r w:rsidRPr="003015C7">
        <w:t xml:space="preserve">infections intestinales est beaucoup moins nombreux que ceux impliquant des </w:t>
      </w:r>
      <w:r w:rsidRPr="003015C7">
        <w:rPr>
          <w:i/>
          <w:iCs/>
        </w:rPr>
        <w:t xml:space="preserve">Lactobacillus, </w:t>
      </w:r>
      <w:r w:rsidRPr="003015C7">
        <w:t>il n'en demeure pas moins que la capacité à limiter les infections soit le caractère probiotique des bifidobactéries le plus décrit dans la littérature.</w:t>
      </w:r>
    </w:p>
    <w:p w:rsidR="00582946" w:rsidRPr="003015C7" w:rsidRDefault="00582946" w:rsidP="00582946">
      <w:pPr>
        <w:autoSpaceDE w:val="0"/>
        <w:autoSpaceDN w:val="0"/>
        <w:adjustRightInd w:val="0"/>
        <w:spacing w:before="120" w:after="120" w:line="360" w:lineRule="auto"/>
        <w:ind w:firstLine="708"/>
        <w:jc w:val="both"/>
      </w:pPr>
      <w:r w:rsidRPr="003015C7">
        <w:t xml:space="preserve">Plusieurs souches de bifidobactéries ont montré leur efficacité à inhiber des pathogènes </w:t>
      </w:r>
      <w:r w:rsidRPr="003015C7">
        <w:rPr>
          <w:i/>
          <w:iCs/>
        </w:rPr>
        <w:t>in vitro</w:t>
      </w:r>
      <w:r>
        <w:t xml:space="preserve"> </w:t>
      </w:r>
      <w:r w:rsidRPr="00F321A1">
        <w:rPr>
          <w:color w:val="0033CC"/>
        </w:rPr>
        <w:t xml:space="preserve">Cheikhyoussef </w:t>
      </w:r>
      <w:r w:rsidRPr="00EA5B2F">
        <w:rPr>
          <w:i/>
          <w:iCs/>
          <w:color w:val="0033CC"/>
        </w:rPr>
        <w:t>et al</w:t>
      </w:r>
      <w:r w:rsidRPr="00F321A1">
        <w:rPr>
          <w:color w:val="0033CC"/>
        </w:rPr>
        <w:t>., 2008</w:t>
      </w:r>
      <w:r>
        <w:rPr>
          <w:color w:val="0033CC"/>
        </w:rPr>
        <w:t xml:space="preserve"> </w:t>
      </w:r>
      <w:r w:rsidRPr="00F321A1">
        <w:t>ont</w:t>
      </w:r>
      <w:r>
        <w:rPr>
          <w:color w:val="0033CC"/>
        </w:rPr>
        <w:t xml:space="preserve"> </w:t>
      </w:r>
      <w:r>
        <w:t xml:space="preserve">montrés l’activités antimicrobienne de </w:t>
      </w:r>
      <w:r w:rsidRPr="00F321A1">
        <w:rPr>
          <w:i/>
          <w:iCs/>
        </w:rPr>
        <w:t>Bifidobacterium longum</w:t>
      </w:r>
      <w:r>
        <w:t xml:space="preserve"> et </w:t>
      </w:r>
      <w:r w:rsidRPr="00F321A1">
        <w:rPr>
          <w:i/>
          <w:iCs/>
        </w:rPr>
        <w:t>Bifidobacterium infantis</w:t>
      </w:r>
      <w:r>
        <w:t xml:space="preserve"> vis à vis de </w:t>
      </w:r>
      <w:r w:rsidRPr="00521521">
        <w:rPr>
          <w:i/>
          <w:iCs/>
        </w:rPr>
        <w:t>Salmonella</w:t>
      </w:r>
      <w:r>
        <w:t xml:space="preserve"> ssp.</w:t>
      </w:r>
      <w:r w:rsidRPr="003015C7">
        <w:rPr>
          <w:i/>
          <w:iCs/>
        </w:rPr>
        <w:t xml:space="preserve"> </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 xml:space="preserve">Plusieurs souches de bifidobactéries ont démontré la capacité de produire </w:t>
      </w:r>
      <w:r w:rsidRPr="003015C7">
        <w:rPr>
          <w:i/>
          <w:iCs/>
        </w:rPr>
        <w:t>in vitro</w:t>
      </w:r>
      <w:r>
        <w:rPr>
          <w:i/>
          <w:iCs/>
        </w:rPr>
        <w:t xml:space="preserve"> </w:t>
      </w:r>
      <w:r w:rsidRPr="003015C7">
        <w:t xml:space="preserve">des composés actifs contre de nombreuses bactéries pathogènes comme </w:t>
      </w:r>
      <w:r w:rsidRPr="003015C7">
        <w:rPr>
          <w:i/>
          <w:iCs/>
        </w:rPr>
        <w:t>Salmonella,</w:t>
      </w:r>
      <w:r>
        <w:rPr>
          <w:i/>
          <w:iCs/>
        </w:rPr>
        <w:t xml:space="preserve"> </w:t>
      </w:r>
      <w:r w:rsidRPr="00B70668">
        <w:rPr>
          <w:i/>
          <w:iCs/>
        </w:rPr>
        <w:t xml:space="preserve">Listeria </w:t>
      </w:r>
      <w:r w:rsidRPr="003015C7">
        <w:rPr>
          <w:i/>
          <w:iCs/>
        </w:rPr>
        <w:t xml:space="preserve"> monocyîogenes, Escherichia coli, </w:t>
      </w:r>
      <w:r w:rsidRPr="003015C7">
        <w:t xml:space="preserve">et </w:t>
      </w:r>
      <w:r w:rsidRPr="003015C7">
        <w:rPr>
          <w:i/>
          <w:iCs/>
        </w:rPr>
        <w:t xml:space="preserve">Clostridium </w:t>
      </w:r>
      <w:r w:rsidRPr="00707410">
        <w:rPr>
          <w:i/>
          <w:iCs/>
        </w:rPr>
        <w:t>difficile</w:t>
      </w:r>
      <w:r w:rsidRPr="003015C7">
        <w:rPr>
          <w:i/>
          <w:iCs/>
          <w:color w:val="FF0000"/>
        </w:rPr>
        <w:t xml:space="preserve"> </w:t>
      </w:r>
      <w:r w:rsidRPr="00374B30">
        <w:rPr>
          <w:color w:val="0000FF"/>
        </w:rPr>
        <w:t xml:space="preserve">(Anand </w:t>
      </w:r>
      <w:r w:rsidRPr="00374B30">
        <w:rPr>
          <w:i/>
          <w:iCs/>
          <w:color w:val="0000FF"/>
        </w:rPr>
        <w:t>et al</w:t>
      </w:r>
      <w:r w:rsidRPr="00374B30">
        <w:rPr>
          <w:color w:val="0000FF"/>
        </w:rPr>
        <w:t xml:space="preserve">., 1984; Anand </w:t>
      </w:r>
      <w:r w:rsidRPr="00374B30">
        <w:rPr>
          <w:i/>
          <w:iCs/>
          <w:color w:val="0000FF"/>
        </w:rPr>
        <w:t>et al</w:t>
      </w:r>
      <w:r w:rsidRPr="00374B30">
        <w:rPr>
          <w:color w:val="0000FF"/>
        </w:rPr>
        <w:t>., 1985 ; Gibson et Wang, 1994</w:t>
      </w:r>
      <w:r>
        <w:rPr>
          <w:color w:val="0000FF"/>
        </w:rPr>
        <w:t xml:space="preserve"> </w:t>
      </w:r>
      <w:r w:rsidRPr="00374B30">
        <w:rPr>
          <w:color w:val="0000FF"/>
        </w:rPr>
        <w:t xml:space="preserve">; Yildirim </w:t>
      </w:r>
      <w:r w:rsidRPr="00374B30">
        <w:rPr>
          <w:i/>
          <w:iCs/>
          <w:color w:val="0000FF"/>
        </w:rPr>
        <w:t>et al</w:t>
      </w:r>
      <w:r w:rsidRPr="00374B30">
        <w:rPr>
          <w:color w:val="0000FF"/>
        </w:rPr>
        <w:t>., 1998</w:t>
      </w:r>
      <w:r>
        <w:rPr>
          <w:color w:val="0000FF"/>
        </w:rPr>
        <w:t xml:space="preserve"> </w:t>
      </w:r>
      <w:r w:rsidRPr="00374B30">
        <w:rPr>
          <w:color w:val="0000FF"/>
        </w:rPr>
        <w:t xml:space="preserve">; Yildirim </w:t>
      </w:r>
      <w:r w:rsidRPr="00374B30">
        <w:rPr>
          <w:i/>
          <w:iCs/>
          <w:color w:val="0000FF"/>
        </w:rPr>
        <w:t>et al</w:t>
      </w:r>
      <w:r w:rsidRPr="00374B30">
        <w:rPr>
          <w:color w:val="0000FF"/>
        </w:rPr>
        <w:t xml:space="preserve">., 1999 ; Lee </w:t>
      </w:r>
      <w:r w:rsidRPr="00374B30">
        <w:rPr>
          <w:i/>
          <w:iCs/>
          <w:color w:val="0000FF"/>
        </w:rPr>
        <w:t>et al</w:t>
      </w:r>
      <w:r w:rsidRPr="00374B30">
        <w:rPr>
          <w:color w:val="0000FF"/>
        </w:rPr>
        <w:t>., 2003)</w:t>
      </w:r>
      <w:r w:rsidRPr="00374B30">
        <w:t>.</w:t>
      </w:r>
    </w:p>
    <w:p w:rsidR="00582946" w:rsidRPr="003015C7" w:rsidRDefault="00582946" w:rsidP="00582946">
      <w:pPr>
        <w:autoSpaceDE w:val="0"/>
        <w:autoSpaceDN w:val="0"/>
        <w:adjustRightInd w:val="0"/>
        <w:spacing w:before="120" w:after="120" w:line="360" w:lineRule="auto"/>
        <w:ind w:firstLine="708"/>
        <w:jc w:val="both"/>
      </w:pPr>
      <w:r w:rsidRPr="003015C7">
        <w:rPr>
          <w:color w:val="FF0000"/>
        </w:rPr>
        <w:t xml:space="preserve"> </w:t>
      </w:r>
      <w:r w:rsidRPr="003015C7">
        <w:t xml:space="preserve">Parmi ces composés, certains sont apparentés à des bactériocines alors que d'autres sont des substances protéiques ne s'apparentant pas à une bactériocine  Aussi, une simple réduction du pH par les produits métaboliques comme l'acide lactique ou l'acide acétique permet l'inhibition de pathogènes par les bifidobactéries </w:t>
      </w:r>
      <w:r w:rsidRPr="00C30C8C">
        <w:rPr>
          <w:color w:val="0000FF"/>
        </w:rPr>
        <w:t>(</w:t>
      </w:r>
      <w:r>
        <w:rPr>
          <w:color w:val="0000FF"/>
        </w:rPr>
        <w:t>Gibson</w:t>
      </w:r>
      <w:r w:rsidRPr="00C30C8C">
        <w:rPr>
          <w:color w:val="0000FF"/>
        </w:rPr>
        <w:t xml:space="preserve"> et </w:t>
      </w:r>
      <w:r>
        <w:rPr>
          <w:color w:val="0000FF"/>
        </w:rPr>
        <w:t>Wang</w:t>
      </w:r>
      <w:r w:rsidRPr="00C30C8C">
        <w:rPr>
          <w:color w:val="0000FF"/>
        </w:rPr>
        <w:t xml:space="preserve">, </w:t>
      </w:r>
      <w:r>
        <w:rPr>
          <w:color w:val="0000FF"/>
        </w:rPr>
        <w:t>1994</w:t>
      </w:r>
      <w:r w:rsidRPr="00C30C8C">
        <w:rPr>
          <w:color w:val="0000FF"/>
        </w:rPr>
        <w:t>)</w:t>
      </w:r>
      <w:r w:rsidRPr="00C30C8C">
        <w:t>.</w:t>
      </w:r>
      <w:r w:rsidRPr="003015C7">
        <w:t xml:space="preserve"> </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De plus, certains auteurs rapportent la combinaison de plusieurs facteurs (pH et</w:t>
      </w:r>
      <w:r>
        <w:t xml:space="preserve"> </w:t>
      </w:r>
      <w:r w:rsidRPr="003015C7">
        <w:t xml:space="preserve">protéines inhibitrices) pour expliquer l'action anti-pathogène des bifidobactéries </w:t>
      </w:r>
      <w:r w:rsidRPr="00C30C8C">
        <w:rPr>
          <w:color w:val="0000FF"/>
        </w:rPr>
        <w:t>(</w:t>
      </w:r>
      <w:r>
        <w:rPr>
          <w:color w:val="0000FF"/>
        </w:rPr>
        <w:t xml:space="preserve">Hutt </w:t>
      </w:r>
      <w:r w:rsidRPr="00C30C8C">
        <w:rPr>
          <w:i/>
          <w:iCs/>
          <w:color w:val="0000FF"/>
        </w:rPr>
        <w:t>et al</w:t>
      </w:r>
      <w:r w:rsidRPr="00C30C8C">
        <w:rPr>
          <w:color w:val="0000FF"/>
        </w:rPr>
        <w:t xml:space="preserve">., </w:t>
      </w:r>
      <w:r>
        <w:rPr>
          <w:color w:val="0000FF"/>
        </w:rPr>
        <w:t>2006</w:t>
      </w:r>
      <w:r w:rsidRPr="00C30C8C">
        <w:rPr>
          <w:color w:val="0000FF"/>
        </w:rPr>
        <w:t xml:space="preserve"> </w:t>
      </w:r>
      <w:r>
        <w:rPr>
          <w:color w:val="0000FF"/>
        </w:rPr>
        <w:t>)</w:t>
      </w:r>
    </w:p>
    <w:p w:rsidR="00582946" w:rsidRDefault="00582946" w:rsidP="00582946">
      <w:pPr>
        <w:autoSpaceDE w:val="0"/>
        <w:autoSpaceDN w:val="0"/>
        <w:adjustRightInd w:val="0"/>
        <w:spacing w:before="120" w:after="120" w:line="360" w:lineRule="auto"/>
        <w:ind w:firstLine="708"/>
        <w:jc w:val="both"/>
      </w:pPr>
      <w:r w:rsidRPr="003015C7">
        <w:t xml:space="preserve">Les bifidobactéries ont aussi la capacité d'adhérer </w:t>
      </w:r>
      <w:r w:rsidRPr="003015C7">
        <w:rPr>
          <w:i/>
          <w:iCs/>
        </w:rPr>
        <w:t xml:space="preserve">in vitro </w:t>
      </w:r>
      <w:r w:rsidRPr="003015C7">
        <w:t>à des lignées cellulaires</w:t>
      </w:r>
      <w:r>
        <w:t xml:space="preserve"> </w:t>
      </w:r>
      <w:r w:rsidRPr="003015C7">
        <w:t>intestinales comme les Caco-2 et les HT-29. Cette aptitude leur permet de mieux coloniser</w:t>
      </w:r>
      <w:r>
        <w:t xml:space="preserve"> </w:t>
      </w:r>
      <w:r w:rsidRPr="003015C7">
        <w:t xml:space="preserve">le tapis cellulaire et ainsi augmenter leur compétitivité face aux bactéries pathogènes </w:t>
      </w:r>
      <w:r w:rsidRPr="00EA5B2F">
        <w:rPr>
          <w:color w:val="0000FF"/>
        </w:rPr>
        <w:t xml:space="preserve">(Forestier </w:t>
      </w:r>
      <w:r w:rsidRPr="00EA5B2F">
        <w:rPr>
          <w:i/>
          <w:iCs/>
          <w:color w:val="0000FF"/>
        </w:rPr>
        <w:t>et al</w:t>
      </w:r>
      <w:r w:rsidRPr="00EA5B2F">
        <w:rPr>
          <w:color w:val="0000FF"/>
        </w:rPr>
        <w:t xml:space="preserve"> ., 2000)</w:t>
      </w:r>
      <w:r w:rsidRPr="003015C7">
        <w:t>.</w:t>
      </w:r>
    </w:p>
    <w:p w:rsidR="00582946" w:rsidRPr="003015C7" w:rsidRDefault="00582946" w:rsidP="00582946">
      <w:pPr>
        <w:autoSpaceDE w:val="0"/>
        <w:autoSpaceDN w:val="0"/>
        <w:adjustRightInd w:val="0"/>
        <w:spacing w:before="120" w:after="120" w:line="360" w:lineRule="auto"/>
        <w:ind w:firstLine="708"/>
        <w:jc w:val="both"/>
      </w:pPr>
      <w:r w:rsidRPr="003015C7">
        <w:t>Cette</w:t>
      </w:r>
      <w:r>
        <w:t xml:space="preserve"> </w:t>
      </w:r>
      <w:r w:rsidRPr="003015C7">
        <w:t>compétition entre les bifidobactéries et plusieurs pathogènes à été décrite dans la</w:t>
      </w:r>
      <w:r>
        <w:t xml:space="preserve"> </w:t>
      </w:r>
      <w:r w:rsidRPr="003015C7">
        <w:t>littérature</w:t>
      </w:r>
      <w:r>
        <w:t xml:space="preserve"> </w:t>
      </w:r>
      <w:r w:rsidRPr="00C30C8C">
        <w:rPr>
          <w:color w:val="0000FF"/>
        </w:rPr>
        <w:t xml:space="preserve">Bernet </w:t>
      </w:r>
      <w:r w:rsidRPr="00C30C8C">
        <w:rPr>
          <w:i/>
          <w:iCs/>
          <w:color w:val="0000FF"/>
        </w:rPr>
        <w:t>et al</w:t>
      </w:r>
      <w:r w:rsidRPr="00C30C8C">
        <w:rPr>
          <w:color w:val="0000FF"/>
        </w:rPr>
        <w:t>. (1993)</w:t>
      </w:r>
      <w:r w:rsidRPr="003015C7">
        <w:t xml:space="preserve"> ont démontré que les souches </w:t>
      </w:r>
      <w:r w:rsidRPr="003015C7">
        <w:rPr>
          <w:i/>
          <w:iCs/>
        </w:rPr>
        <w:t xml:space="preserve">B. longum </w:t>
      </w:r>
      <w:r w:rsidRPr="003015C7">
        <w:t xml:space="preserve">4 et </w:t>
      </w:r>
      <w:r w:rsidRPr="003015C7">
        <w:rPr>
          <w:i/>
          <w:iCs/>
        </w:rPr>
        <w:t xml:space="preserve">B. infantis </w:t>
      </w:r>
      <w:r w:rsidRPr="003015C7">
        <w:t>1 diminuent</w:t>
      </w:r>
      <w:r>
        <w:t xml:space="preserve"> </w:t>
      </w:r>
      <w:r w:rsidRPr="003015C7">
        <w:t xml:space="preserve">l'adhésion sur des cellules Caco-2 de plusieurs souches de </w:t>
      </w:r>
      <w:r w:rsidRPr="003015C7">
        <w:rPr>
          <w:i/>
          <w:iCs/>
        </w:rPr>
        <w:t xml:space="preserve">E. coli </w:t>
      </w:r>
      <w:r w:rsidRPr="003015C7">
        <w:t>(ETEC, DAEC, et EPEC)</w:t>
      </w:r>
      <w:r>
        <w:t xml:space="preserve"> </w:t>
      </w:r>
      <w:r w:rsidRPr="003015C7">
        <w:t xml:space="preserve">ainsi que de </w:t>
      </w:r>
      <w:r w:rsidRPr="003015C7">
        <w:rPr>
          <w:i/>
          <w:iCs/>
        </w:rPr>
        <w:t xml:space="preserve">S. typhimurium. </w:t>
      </w:r>
      <w:r w:rsidRPr="003015C7">
        <w:t>Cette diminution de l'adhésion de ces pathogènes augmente en</w:t>
      </w:r>
      <w:r>
        <w:t xml:space="preserve"> </w:t>
      </w:r>
      <w:r w:rsidRPr="003015C7">
        <w:t>fonction de la dose de bifidobactéries qui est ajoutée sur le tapis cellulaire.</w:t>
      </w:r>
    </w:p>
    <w:p w:rsidR="00582946" w:rsidRDefault="00582946" w:rsidP="00582946">
      <w:pPr>
        <w:autoSpaceDE w:val="0"/>
        <w:autoSpaceDN w:val="0"/>
        <w:adjustRightInd w:val="0"/>
        <w:spacing w:before="120" w:after="120" w:line="360" w:lineRule="auto"/>
        <w:ind w:firstLine="708"/>
        <w:jc w:val="both"/>
      </w:pPr>
      <w:r w:rsidRPr="003015C7">
        <w:lastRenderedPageBreak/>
        <w:t xml:space="preserve">De plus, ces auteurs ont observé que l'adhésion des bifidobactéries sur les cellules intestinales était favorisée par une substance protéique produite par la bifidobactérie dans son milieu de culture </w:t>
      </w:r>
      <w:r w:rsidRPr="00C30C8C">
        <w:rPr>
          <w:color w:val="0000FF"/>
        </w:rPr>
        <w:t xml:space="preserve">(Bernet </w:t>
      </w:r>
      <w:r w:rsidRPr="00C30C8C">
        <w:rPr>
          <w:i/>
          <w:iCs/>
          <w:color w:val="0000FF"/>
        </w:rPr>
        <w:t>et al</w:t>
      </w:r>
      <w:r w:rsidRPr="00C30C8C">
        <w:rPr>
          <w:color w:val="0000FF"/>
        </w:rPr>
        <w:t>., 1993)</w:t>
      </w:r>
      <w:r w:rsidRPr="00C30C8C">
        <w:t>.</w:t>
      </w:r>
      <w:r w:rsidRPr="003015C7">
        <w:t xml:space="preserve"> D'autres études ont conclu que les bifidobactéries ont la capacité d'inhiber l'adhésion des pathogènes comme </w:t>
      </w:r>
      <w:r w:rsidRPr="003015C7">
        <w:rPr>
          <w:i/>
          <w:iCs/>
        </w:rPr>
        <w:t xml:space="preserve">E. coli </w:t>
      </w:r>
      <w:r w:rsidRPr="003015C7">
        <w:t xml:space="preserve">O157:H7, </w:t>
      </w:r>
      <w:r w:rsidRPr="003015C7">
        <w:rPr>
          <w:i/>
          <w:iCs/>
        </w:rPr>
        <w:t xml:space="preserve">S. enterica </w:t>
      </w:r>
      <w:r w:rsidRPr="003015C7">
        <w:t>serovar</w:t>
      </w:r>
      <w:r>
        <w:t xml:space="preserve"> </w:t>
      </w:r>
      <w:r w:rsidRPr="003015C7">
        <w:t xml:space="preserve">Typhimurium, </w:t>
      </w:r>
      <w:r w:rsidRPr="003015C7">
        <w:rPr>
          <w:i/>
          <w:iCs/>
        </w:rPr>
        <w:t xml:space="preserve">L. monocytogenes, Enterobacter sakazakii </w:t>
      </w:r>
      <w:r w:rsidRPr="003015C7">
        <w:t xml:space="preserve">et </w:t>
      </w:r>
      <w:r w:rsidRPr="003015C7">
        <w:rPr>
          <w:i/>
          <w:iCs/>
        </w:rPr>
        <w:t xml:space="preserve">C. difficile </w:t>
      </w:r>
      <w:r w:rsidRPr="00C30C8C">
        <w:rPr>
          <w:color w:val="0000FF"/>
        </w:rPr>
        <w:t xml:space="preserve">(Liévin </w:t>
      </w:r>
      <w:r w:rsidRPr="00C30C8C">
        <w:rPr>
          <w:i/>
          <w:iCs/>
          <w:color w:val="0000FF"/>
        </w:rPr>
        <w:t>et al</w:t>
      </w:r>
      <w:r w:rsidRPr="00C30C8C">
        <w:rPr>
          <w:color w:val="0000FF"/>
        </w:rPr>
        <w:t>., 2000</w:t>
      </w:r>
      <w:r>
        <w:rPr>
          <w:color w:val="0000FF"/>
        </w:rPr>
        <w:t xml:space="preserve"> </w:t>
      </w:r>
      <w:r w:rsidRPr="00C30C8C">
        <w:rPr>
          <w:color w:val="0000FF"/>
        </w:rPr>
        <w:t xml:space="preserve">; Gopal </w:t>
      </w:r>
      <w:r w:rsidRPr="00C30C8C">
        <w:rPr>
          <w:i/>
          <w:iCs/>
          <w:color w:val="0000FF"/>
        </w:rPr>
        <w:t>et al</w:t>
      </w:r>
      <w:r w:rsidRPr="00C30C8C">
        <w:rPr>
          <w:color w:val="0000FF"/>
        </w:rPr>
        <w:t>., 2001</w:t>
      </w:r>
      <w:r>
        <w:rPr>
          <w:color w:val="0000FF"/>
        </w:rPr>
        <w:t xml:space="preserve"> </w:t>
      </w:r>
      <w:r w:rsidRPr="00C30C8C">
        <w:rPr>
          <w:color w:val="0000FF"/>
        </w:rPr>
        <w:t xml:space="preserve">; Gagnon </w:t>
      </w:r>
      <w:r w:rsidRPr="00C30C8C">
        <w:rPr>
          <w:i/>
          <w:iCs/>
          <w:color w:val="0000FF"/>
        </w:rPr>
        <w:t>et al</w:t>
      </w:r>
      <w:r w:rsidRPr="00C30C8C">
        <w:rPr>
          <w:color w:val="0000FF"/>
        </w:rPr>
        <w:t>., 2004 ;</w:t>
      </w:r>
      <w:r>
        <w:rPr>
          <w:color w:val="0000FF"/>
        </w:rPr>
        <w:t xml:space="preserve"> </w:t>
      </w:r>
      <w:r w:rsidRPr="00C30C8C">
        <w:rPr>
          <w:color w:val="0000FF"/>
        </w:rPr>
        <w:t xml:space="preserve">Collado </w:t>
      </w:r>
      <w:r w:rsidRPr="00C30C8C">
        <w:rPr>
          <w:i/>
          <w:iCs/>
          <w:color w:val="0000FF"/>
        </w:rPr>
        <w:t>et al</w:t>
      </w:r>
      <w:r w:rsidRPr="00C30C8C">
        <w:rPr>
          <w:color w:val="0000FF"/>
        </w:rPr>
        <w:t>., 2005)</w:t>
      </w:r>
      <w:r w:rsidRPr="00C30C8C">
        <w:t>.</w:t>
      </w:r>
      <w:r w:rsidRPr="003015C7">
        <w:t xml:space="preserve"> </w:t>
      </w:r>
    </w:p>
    <w:p w:rsidR="00582946" w:rsidRPr="003015C7" w:rsidRDefault="00582946" w:rsidP="00582946">
      <w:pPr>
        <w:autoSpaceDE w:val="0"/>
        <w:autoSpaceDN w:val="0"/>
        <w:adjustRightInd w:val="0"/>
        <w:spacing w:before="120" w:after="120" w:line="360" w:lineRule="auto"/>
        <w:ind w:firstLine="708"/>
        <w:jc w:val="both"/>
      </w:pPr>
      <w:r w:rsidRPr="003015C7">
        <w:t>Ces études</w:t>
      </w:r>
      <w:r>
        <w:t xml:space="preserve"> </w:t>
      </w:r>
      <w:r w:rsidRPr="003015C7">
        <w:t>proposent certains mécanismes pour expliquer cette compétition : l'encombrement stérique,</w:t>
      </w:r>
      <w:r>
        <w:t xml:space="preserve"> </w:t>
      </w:r>
      <w:r w:rsidRPr="003015C7">
        <w:t>le blocage spécifique de récepteurs cellulaires ou la compétition entre les bifidobactéries et</w:t>
      </w:r>
      <w:r>
        <w:t xml:space="preserve"> </w:t>
      </w:r>
      <w:r w:rsidRPr="003015C7">
        <w:t>les bactéries pathogènes pour les mêmes sites d'adhésion. Cependant, les mécanismes</w:t>
      </w:r>
      <w:r>
        <w:t xml:space="preserve"> </w:t>
      </w:r>
      <w:r w:rsidRPr="003015C7">
        <w:t>précis permettant l'inhibition de l'adhésion par les bifidobactéries ne sont toujours pas</w:t>
      </w:r>
      <w:r>
        <w:t xml:space="preserve"> </w:t>
      </w:r>
      <w:r w:rsidRPr="003015C7">
        <w:t>identifiés avec certitude.</w:t>
      </w:r>
    </w:p>
    <w:p w:rsidR="00582946" w:rsidRDefault="00582946" w:rsidP="00582946">
      <w:pPr>
        <w:autoSpaceDE w:val="0"/>
        <w:autoSpaceDN w:val="0"/>
        <w:adjustRightInd w:val="0"/>
        <w:spacing w:before="120" w:after="120" w:line="360" w:lineRule="auto"/>
        <w:ind w:firstLine="708"/>
        <w:jc w:val="both"/>
      </w:pPr>
      <w:r w:rsidRPr="003015C7">
        <w:t>L'activité des bifidobactéries contre les pathogènes intestinaux a aussi été</w:t>
      </w:r>
      <w:r>
        <w:t xml:space="preserve"> </w:t>
      </w:r>
      <w:r w:rsidRPr="003015C7">
        <w:t xml:space="preserve">démontrée </w:t>
      </w:r>
      <w:r w:rsidRPr="003015C7">
        <w:rPr>
          <w:i/>
          <w:iCs/>
        </w:rPr>
        <w:t xml:space="preserve">in vivo </w:t>
      </w:r>
      <w:r w:rsidRPr="003015C7">
        <w:t>chez la souris</w:t>
      </w:r>
      <w:r w:rsidRPr="00C30C8C">
        <w:t>.</w:t>
      </w:r>
      <w:r w:rsidRPr="003015C7">
        <w:rPr>
          <w:color w:val="FF0000"/>
        </w:rPr>
        <w:t xml:space="preserve"> </w:t>
      </w:r>
      <w:r w:rsidRPr="00C30C8C">
        <w:rPr>
          <w:color w:val="0000FF"/>
        </w:rPr>
        <w:t xml:space="preserve">Henriksson et Conway (2001) </w:t>
      </w:r>
      <w:r w:rsidRPr="005B4CA0">
        <w:t>et</w:t>
      </w:r>
      <w:r w:rsidRPr="00C30C8C">
        <w:rPr>
          <w:color w:val="0000FF"/>
        </w:rPr>
        <w:t xml:space="preserve"> </w:t>
      </w:r>
      <w:r w:rsidRPr="003015C7">
        <w:t>ont</w:t>
      </w:r>
      <w:r>
        <w:t xml:space="preserve"> </w:t>
      </w:r>
      <w:r w:rsidRPr="003015C7">
        <w:t xml:space="preserve">montré l'impact de l'administration orale de bifidobactéries sur une infection à </w:t>
      </w:r>
      <w:r w:rsidRPr="003015C7">
        <w:rPr>
          <w:i/>
          <w:iCs/>
        </w:rPr>
        <w:t>Salmonella</w:t>
      </w:r>
      <w:r>
        <w:rPr>
          <w:i/>
          <w:iCs/>
        </w:rPr>
        <w:t xml:space="preserve"> </w:t>
      </w:r>
      <w:r w:rsidRPr="003015C7">
        <w:rPr>
          <w:i/>
          <w:iCs/>
        </w:rPr>
        <w:t xml:space="preserve">enterica </w:t>
      </w:r>
      <w:r w:rsidRPr="003015C7">
        <w:t xml:space="preserve">serovar Typhimurium chez la souris. </w:t>
      </w:r>
    </w:p>
    <w:p w:rsidR="00582946" w:rsidRDefault="00582946" w:rsidP="00582946">
      <w:pPr>
        <w:autoSpaceDE w:val="0"/>
        <w:autoSpaceDN w:val="0"/>
        <w:adjustRightInd w:val="0"/>
        <w:spacing w:before="120" w:after="120" w:line="360" w:lineRule="auto"/>
        <w:ind w:firstLine="708"/>
        <w:jc w:val="both"/>
      </w:pPr>
      <w:r w:rsidRPr="00707410">
        <w:rPr>
          <w:color w:val="0000FF"/>
        </w:rPr>
        <w:t>Henriksson et Conway</w:t>
      </w:r>
      <w:r w:rsidRPr="003015C7">
        <w:t xml:space="preserve"> ont remarqué une</w:t>
      </w:r>
      <w:r>
        <w:t xml:space="preserve"> </w:t>
      </w:r>
      <w:r w:rsidRPr="003015C7">
        <w:t xml:space="preserve">diminution du compte de </w:t>
      </w:r>
      <w:r>
        <w:t xml:space="preserve">                    </w:t>
      </w:r>
      <w:r w:rsidRPr="003015C7">
        <w:rPr>
          <w:i/>
          <w:iCs/>
        </w:rPr>
        <w:t xml:space="preserve">S. typhimurium </w:t>
      </w:r>
      <w:r w:rsidRPr="003015C7">
        <w:t>dans les fèces des souris et une plus faible perte</w:t>
      </w:r>
      <w:r>
        <w:t xml:space="preserve"> </w:t>
      </w:r>
      <w:r w:rsidRPr="003015C7">
        <w:t xml:space="preserve">de poids chez les animaux ayant reçu la souche </w:t>
      </w:r>
      <w:r w:rsidRPr="003015C7">
        <w:rPr>
          <w:i/>
          <w:iCs/>
        </w:rPr>
        <w:t xml:space="preserve">B. longum </w:t>
      </w:r>
      <w:r w:rsidRPr="003015C7">
        <w:t>Lafti™ B22 comparé aux</w:t>
      </w:r>
      <w:r>
        <w:t xml:space="preserve"> </w:t>
      </w:r>
      <w:r w:rsidRPr="003015C7">
        <w:t xml:space="preserve">contrôles d'infection. </w:t>
      </w:r>
    </w:p>
    <w:p w:rsidR="00582946" w:rsidRDefault="00582946" w:rsidP="00582946">
      <w:pPr>
        <w:autoSpaceDE w:val="0"/>
        <w:autoSpaceDN w:val="0"/>
        <w:adjustRightInd w:val="0"/>
        <w:spacing w:before="120" w:after="120" w:line="360" w:lineRule="auto"/>
        <w:ind w:firstLine="708"/>
        <w:jc w:val="both"/>
      </w:pPr>
      <w:r w:rsidRPr="003015C7">
        <w:t xml:space="preserve">De leur côté, </w:t>
      </w:r>
      <w:r w:rsidRPr="00A54237">
        <w:rPr>
          <w:color w:val="0000FF"/>
        </w:rPr>
        <w:t xml:space="preserve">Silva </w:t>
      </w:r>
      <w:r w:rsidRPr="00A54237">
        <w:rPr>
          <w:i/>
          <w:iCs/>
          <w:color w:val="0000FF"/>
        </w:rPr>
        <w:t>et al</w:t>
      </w:r>
      <w:r w:rsidRPr="00C30C8C">
        <w:rPr>
          <w:color w:val="0000FF"/>
        </w:rPr>
        <w:t>.</w:t>
      </w:r>
      <w:r w:rsidRPr="003015C7">
        <w:t xml:space="preserve"> rapportent un taux de survie plus élevé</w:t>
      </w:r>
      <w:r>
        <w:t xml:space="preserve"> </w:t>
      </w:r>
      <w:r w:rsidRPr="003015C7">
        <w:t xml:space="preserve">chez le groupe de souris ayant reçu oralement la souche </w:t>
      </w:r>
      <w:r w:rsidRPr="003015C7">
        <w:rPr>
          <w:i/>
          <w:iCs/>
        </w:rPr>
        <w:t xml:space="preserve">B. longum </w:t>
      </w:r>
      <w:r w:rsidRPr="003015C7">
        <w:t>Bb46 comparé au</w:t>
      </w:r>
      <w:r>
        <w:t xml:space="preserve"> </w:t>
      </w:r>
      <w:r w:rsidRPr="003015C7">
        <w:t>groupe contrôle. De plus, les lésions intestinales et hépatiques étaient moins importantes</w:t>
      </w:r>
      <w:r>
        <w:t xml:space="preserve"> </w:t>
      </w:r>
      <w:r w:rsidRPr="003015C7">
        <w:t xml:space="preserve">chez le groupe traité avec le probiotique. </w:t>
      </w:r>
    </w:p>
    <w:p w:rsidR="00582946" w:rsidRDefault="00582946" w:rsidP="00582946">
      <w:pPr>
        <w:autoSpaceDE w:val="0"/>
        <w:autoSpaceDN w:val="0"/>
        <w:adjustRightInd w:val="0"/>
        <w:spacing w:before="120" w:after="120" w:line="360" w:lineRule="auto"/>
        <w:ind w:firstLine="708"/>
        <w:jc w:val="both"/>
      </w:pPr>
      <w:r w:rsidRPr="003015C7">
        <w:t>Ces auteurs expliquent la protection anti-</w:t>
      </w:r>
      <w:r>
        <w:t xml:space="preserve"> </w:t>
      </w:r>
      <w:r w:rsidRPr="003015C7">
        <w:rPr>
          <w:i/>
          <w:iCs/>
        </w:rPr>
        <w:t xml:space="preserve">Salmonella </w:t>
      </w:r>
      <w:r w:rsidRPr="003015C7">
        <w:t xml:space="preserve">apportée par le </w:t>
      </w:r>
      <w:r w:rsidRPr="003015C7">
        <w:rPr>
          <w:i/>
          <w:iCs/>
        </w:rPr>
        <w:t xml:space="preserve">B. longum </w:t>
      </w:r>
      <w:r w:rsidRPr="003015C7">
        <w:t>Bb46 par une stimulation du système immunitaire</w:t>
      </w:r>
      <w:r>
        <w:t xml:space="preserve"> </w:t>
      </w:r>
      <w:r w:rsidRPr="003015C7">
        <w:t xml:space="preserve">(réponse pro inflammatoire) de la souris par le probiotique. </w:t>
      </w:r>
    </w:p>
    <w:p w:rsidR="00582946" w:rsidRDefault="00582946" w:rsidP="00582946">
      <w:pPr>
        <w:autoSpaceDE w:val="0"/>
        <w:autoSpaceDN w:val="0"/>
        <w:adjustRightInd w:val="0"/>
        <w:spacing w:before="120" w:after="120" w:line="360" w:lineRule="auto"/>
        <w:ind w:firstLine="708"/>
        <w:jc w:val="both"/>
        <w:rPr>
          <w:i/>
          <w:iCs/>
        </w:rPr>
      </w:pPr>
      <w:r w:rsidRPr="003015C7">
        <w:t>En effet, ils ont observé une</w:t>
      </w:r>
      <w:r>
        <w:t xml:space="preserve"> </w:t>
      </w:r>
      <w:r w:rsidRPr="003015C7">
        <w:t>augmentation de la production de nombreuses cytokines impliquées dans le processus</w:t>
      </w:r>
      <w:r>
        <w:t xml:space="preserve"> </w:t>
      </w:r>
      <w:r w:rsidRPr="003015C7">
        <w:t xml:space="preserve">d'inflammation chez les souris traitées avec </w:t>
      </w:r>
      <w:r>
        <w:t>ce</w:t>
      </w:r>
      <w:r w:rsidRPr="003015C7">
        <w:t xml:space="preserve"> </w:t>
      </w:r>
      <w:r w:rsidRPr="003015C7">
        <w:rPr>
          <w:i/>
          <w:iCs/>
        </w:rPr>
        <w:t xml:space="preserve">Bifidobacterium. </w:t>
      </w:r>
    </w:p>
    <w:p w:rsidR="00582946" w:rsidRDefault="00582946" w:rsidP="00582946">
      <w:pPr>
        <w:autoSpaceDE w:val="0"/>
        <w:autoSpaceDN w:val="0"/>
        <w:adjustRightInd w:val="0"/>
        <w:spacing w:before="120" w:after="120" w:line="360" w:lineRule="auto"/>
        <w:ind w:firstLine="708"/>
        <w:jc w:val="both"/>
      </w:pPr>
      <w:r w:rsidRPr="003015C7">
        <w:t>Par contre, ils n'excluent</w:t>
      </w:r>
      <w:r>
        <w:t xml:space="preserve"> </w:t>
      </w:r>
      <w:r w:rsidRPr="003015C7">
        <w:t>pas la possibilité que d'autres mécanismes comme la compétition pour les nutriments ou la</w:t>
      </w:r>
      <w:r>
        <w:t xml:space="preserve"> </w:t>
      </w:r>
      <w:r w:rsidRPr="003015C7">
        <w:t>modulation de la production de toxines puissent avoir participé à la diminution de</w:t>
      </w:r>
      <w:r>
        <w:t xml:space="preserve"> </w:t>
      </w:r>
      <w:r w:rsidRPr="003015C7">
        <w:t xml:space="preserve">l'infection. </w:t>
      </w:r>
    </w:p>
    <w:p w:rsidR="00582946" w:rsidRPr="003015C7" w:rsidRDefault="00582946" w:rsidP="00582946">
      <w:pPr>
        <w:autoSpaceDE w:val="0"/>
        <w:autoSpaceDN w:val="0"/>
        <w:adjustRightInd w:val="0"/>
        <w:spacing w:before="120" w:after="120" w:line="360" w:lineRule="auto"/>
        <w:ind w:firstLine="708"/>
        <w:jc w:val="both"/>
      </w:pPr>
      <w:r w:rsidRPr="003015C7">
        <w:lastRenderedPageBreak/>
        <w:t>Finalement, des essais chez l'humain mettent aussi en évidence l'efficacité des</w:t>
      </w:r>
      <w:r>
        <w:t xml:space="preserve"> </w:t>
      </w:r>
      <w:r w:rsidRPr="003015C7">
        <w:t>bifidobactéries à prévenir et à traiter les infections intestinales. Une étude effectuée chez</w:t>
      </w:r>
      <w:r>
        <w:t xml:space="preserve"> </w:t>
      </w:r>
      <w:r w:rsidRPr="003015C7">
        <w:t>des enfants fréquentant un hôpital a démontré que l'administration de façon préventive</w:t>
      </w:r>
      <w:r>
        <w:t xml:space="preserve"> </w:t>
      </w:r>
      <w:r w:rsidRPr="003015C7">
        <w:t xml:space="preserve">d'une formule lactée contenant </w:t>
      </w:r>
      <w:r w:rsidRPr="003015C7">
        <w:rPr>
          <w:i/>
          <w:iCs/>
        </w:rPr>
        <w:t>B. bifidum</w:t>
      </w:r>
      <w:r>
        <w:t>,</w:t>
      </w:r>
      <w:r w:rsidRPr="003015C7">
        <w:rPr>
          <w:i/>
          <w:iCs/>
        </w:rPr>
        <w:t xml:space="preserve"> </w:t>
      </w:r>
      <w:r w:rsidRPr="003015C7">
        <w:t>réduisait l'incidence des diarrhées à rotavirus</w:t>
      </w:r>
      <w:r>
        <w:t xml:space="preserve"> </w:t>
      </w:r>
      <w:r w:rsidRPr="003015C7">
        <w:t>chez ce groupe, comparé au groupe ayant reçu la formule lactée non supplémentée en</w:t>
      </w:r>
      <w:r>
        <w:t xml:space="preserve"> </w:t>
      </w:r>
      <w:r w:rsidRPr="003015C7">
        <w:t xml:space="preserve">probiotiques </w:t>
      </w:r>
      <w:r w:rsidRPr="00C30C8C">
        <w:rPr>
          <w:color w:val="0000FF"/>
        </w:rPr>
        <w:t xml:space="preserve">(Saavedra </w:t>
      </w:r>
      <w:r w:rsidRPr="00C30C8C">
        <w:rPr>
          <w:i/>
          <w:iCs/>
          <w:color w:val="0000FF"/>
        </w:rPr>
        <w:t>et al</w:t>
      </w:r>
      <w:r w:rsidRPr="00C30C8C">
        <w:rPr>
          <w:color w:val="0000FF"/>
        </w:rPr>
        <w:t>., 1994)</w:t>
      </w:r>
      <w:r w:rsidRPr="00C30C8C">
        <w:t>.</w:t>
      </w:r>
      <w:r w:rsidRPr="003015C7">
        <w:t xml:space="preserve"> Des auteurs ont aussi rapporté la prévention de</w:t>
      </w:r>
      <w:r>
        <w:t xml:space="preserve"> </w:t>
      </w:r>
      <w:r w:rsidRPr="003015C7">
        <w:t xml:space="preserve">diarrhées à rotavirus suite à l'administration de </w:t>
      </w:r>
      <w:r w:rsidRPr="003015C7">
        <w:rPr>
          <w:i/>
          <w:iCs/>
        </w:rPr>
        <w:t>Bifidobacterium br</w:t>
      </w:r>
      <w:r>
        <w:rPr>
          <w:i/>
          <w:iCs/>
        </w:rPr>
        <w:t>e</w:t>
      </w:r>
      <w:r w:rsidRPr="003015C7">
        <w:rPr>
          <w:i/>
          <w:iCs/>
        </w:rPr>
        <w:t>ve</w:t>
      </w:r>
      <w:r>
        <w:rPr>
          <w:color w:val="0000FF"/>
        </w:rPr>
        <w:t>.</w:t>
      </w:r>
    </w:p>
    <w:p w:rsidR="00582946" w:rsidRPr="003015C7" w:rsidRDefault="00582946" w:rsidP="00582946">
      <w:pPr>
        <w:autoSpaceDE w:val="0"/>
        <w:autoSpaceDN w:val="0"/>
        <w:adjustRightInd w:val="0"/>
        <w:spacing w:before="120" w:after="120" w:line="360" w:lineRule="auto"/>
        <w:ind w:firstLine="708"/>
        <w:jc w:val="both"/>
      </w:pPr>
      <w:r w:rsidRPr="003015C7">
        <w:t>Enfin, d'autres groupes ont observé l'efficacité des bifidobactéries contre les</w:t>
      </w:r>
      <w:r>
        <w:t xml:space="preserve"> </w:t>
      </w:r>
      <w:r w:rsidRPr="003015C7">
        <w:t>diarrhées associées à la prise d'antibiotiques</w:t>
      </w:r>
      <w:r w:rsidRPr="003015C7">
        <w:rPr>
          <w:color w:val="FF0000"/>
        </w:rPr>
        <w:t xml:space="preserve"> </w:t>
      </w:r>
      <w:r w:rsidRPr="00C30C8C">
        <w:rPr>
          <w:color w:val="0000FF"/>
        </w:rPr>
        <w:t>(Fooks et Gibson, 2002)</w:t>
      </w:r>
      <w:r w:rsidRPr="003015C7">
        <w:rPr>
          <w:color w:val="FF0000"/>
        </w:rPr>
        <w:t xml:space="preserve"> </w:t>
      </w:r>
      <w:r w:rsidRPr="003015C7">
        <w:t>et contre les</w:t>
      </w:r>
      <w:r>
        <w:t xml:space="preserve"> </w:t>
      </w:r>
      <w:r w:rsidRPr="003015C7">
        <w:t xml:space="preserve">infections à </w:t>
      </w:r>
      <w:r w:rsidRPr="00C30C8C">
        <w:rPr>
          <w:i/>
          <w:iCs/>
          <w:color w:val="0000FF"/>
        </w:rPr>
        <w:t xml:space="preserve">Helicobacter pylori </w:t>
      </w:r>
      <w:r w:rsidRPr="00C30C8C">
        <w:rPr>
          <w:color w:val="0000FF"/>
        </w:rPr>
        <w:t>(Hamilton-Miller, 2003)</w:t>
      </w:r>
      <w:r w:rsidRPr="00C30C8C">
        <w:t>.</w:t>
      </w:r>
    </w:p>
    <w:p w:rsidR="00582946" w:rsidRPr="003015C7" w:rsidRDefault="00582946" w:rsidP="00582946">
      <w:pPr>
        <w:autoSpaceDE w:val="0"/>
        <w:autoSpaceDN w:val="0"/>
        <w:adjustRightInd w:val="0"/>
        <w:spacing w:before="120" w:after="120" w:line="360" w:lineRule="auto"/>
        <w:ind w:firstLine="708"/>
        <w:jc w:val="both"/>
      </w:pPr>
      <w:r w:rsidRPr="003015C7">
        <w:t xml:space="preserve">Toutes ces études, autant </w:t>
      </w:r>
      <w:r w:rsidRPr="003015C7">
        <w:rPr>
          <w:i/>
          <w:iCs/>
        </w:rPr>
        <w:t xml:space="preserve">in vitro </w:t>
      </w:r>
      <w:r w:rsidRPr="003015C7">
        <w:t xml:space="preserve">que </w:t>
      </w:r>
      <w:r w:rsidRPr="003015C7">
        <w:rPr>
          <w:i/>
          <w:iCs/>
        </w:rPr>
        <w:t xml:space="preserve">in vivo, </w:t>
      </w:r>
      <w:r w:rsidRPr="003015C7">
        <w:t>montrent bien la capacité des</w:t>
      </w:r>
      <w:r>
        <w:t xml:space="preserve"> </w:t>
      </w:r>
      <w:r w:rsidRPr="003015C7">
        <w:rPr>
          <w:i/>
          <w:iCs/>
        </w:rPr>
        <w:t xml:space="preserve">Bifidobacterium </w:t>
      </w:r>
      <w:r w:rsidRPr="003015C7">
        <w:t>à prévenir, atténuer ou traiter les infections intestinales causées par de</w:t>
      </w:r>
      <w:r>
        <w:t xml:space="preserve"> </w:t>
      </w:r>
      <w:r w:rsidRPr="003015C7">
        <w:t xml:space="preserve">nombreux organismes pathogènes. </w:t>
      </w:r>
    </w:p>
    <w:p w:rsidR="00582946" w:rsidRPr="003015C7" w:rsidRDefault="00582946" w:rsidP="00582946">
      <w:pPr>
        <w:autoSpaceDE w:val="0"/>
        <w:autoSpaceDN w:val="0"/>
        <w:adjustRightInd w:val="0"/>
        <w:spacing w:before="120" w:after="120" w:line="360" w:lineRule="auto"/>
        <w:ind w:firstLine="708"/>
        <w:jc w:val="both"/>
      </w:pPr>
      <w:r w:rsidRPr="003015C7">
        <w:t>Afin d'exercer cet effet, plusieurs mécanismes d'action ont été proposés : la compétition entre les bifidobactéries et les pathogènes pour les nutriments, l'inhibition de l'adhésion du pathogène, la stimulation du système immunitaire de l'hôte et la production par des bifidobactéries de substances inhibitrices comme les bactériocines.</w:t>
      </w:r>
    </w:p>
    <w:p w:rsidR="00582946" w:rsidRDefault="00582946" w:rsidP="00582946">
      <w:pPr>
        <w:autoSpaceDE w:val="0"/>
        <w:autoSpaceDN w:val="0"/>
        <w:adjustRightInd w:val="0"/>
        <w:spacing w:before="120" w:after="120" w:line="360" w:lineRule="auto"/>
        <w:ind w:firstLine="708"/>
        <w:jc w:val="both"/>
        <w:rPr>
          <w:b/>
          <w:bCs/>
          <w:color w:val="FF0000"/>
        </w:rPr>
      </w:pPr>
      <w:r w:rsidRPr="003015C7">
        <w:t xml:space="preserve"> Parmi ces modes d'actions possibles, la production de bactériocines par les</w:t>
      </w:r>
      <w:r>
        <w:t xml:space="preserve"> </w:t>
      </w:r>
      <w:r w:rsidRPr="003015C7">
        <w:t>bifidobactéries n'est pas une voie qui a été beaucoup étudiée et la description dans la</w:t>
      </w:r>
      <w:r>
        <w:t xml:space="preserve"> </w:t>
      </w:r>
      <w:r w:rsidRPr="003015C7">
        <w:t>littérature de bactériocines de bifidobactéries demeure limitée.</w:t>
      </w:r>
    </w:p>
    <w:p w:rsidR="00582946" w:rsidRPr="00A54237" w:rsidRDefault="00582946" w:rsidP="00582946">
      <w:pPr>
        <w:autoSpaceDE w:val="0"/>
        <w:autoSpaceDN w:val="0"/>
        <w:adjustRightInd w:val="0"/>
        <w:spacing w:before="120" w:after="120" w:line="360" w:lineRule="auto"/>
        <w:ind w:firstLine="708"/>
        <w:jc w:val="both"/>
        <w:rPr>
          <w:b/>
          <w:bCs/>
          <w:color w:val="FF0000"/>
        </w:rPr>
      </w:pPr>
      <w:r w:rsidRPr="00A916D5">
        <w:rPr>
          <w:b/>
        </w:rPr>
        <w:t>I.</w:t>
      </w:r>
      <w:r>
        <w:rPr>
          <w:b/>
        </w:rPr>
        <w:t>2</w:t>
      </w:r>
      <w:r w:rsidRPr="00A916D5">
        <w:rPr>
          <w:b/>
        </w:rPr>
        <w:t>.</w:t>
      </w:r>
      <w:r>
        <w:rPr>
          <w:b/>
        </w:rPr>
        <w:t>3.</w:t>
      </w:r>
      <w:r w:rsidRPr="00FD0A7B">
        <w:rPr>
          <w:b/>
          <w:bCs/>
        </w:rPr>
        <w:t>Les bactériocines des bifidobactéries</w:t>
      </w:r>
    </w:p>
    <w:p w:rsidR="00582946" w:rsidRDefault="00582946" w:rsidP="00582946">
      <w:pPr>
        <w:autoSpaceDE w:val="0"/>
        <w:autoSpaceDN w:val="0"/>
        <w:adjustRightInd w:val="0"/>
        <w:spacing w:before="120" w:after="120" w:line="360" w:lineRule="auto"/>
        <w:ind w:firstLine="708"/>
        <w:jc w:val="both"/>
      </w:pPr>
      <w:r w:rsidRPr="003015C7">
        <w:t>Peu d'études existent sur la production de bactériocines par des bifidobactéries.</w:t>
      </w:r>
      <w:r>
        <w:t xml:space="preserve"> </w:t>
      </w:r>
      <w:r w:rsidRPr="007F18F8">
        <w:rPr>
          <w:color w:val="0000FF"/>
        </w:rPr>
        <w:t xml:space="preserve">Anand </w:t>
      </w:r>
      <w:r w:rsidRPr="007F18F8">
        <w:rPr>
          <w:i/>
          <w:iCs/>
          <w:color w:val="0000FF"/>
        </w:rPr>
        <w:t>et al</w:t>
      </w:r>
      <w:r w:rsidRPr="007F18F8">
        <w:rPr>
          <w:color w:val="0000FF"/>
        </w:rPr>
        <w:t>.</w:t>
      </w:r>
      <w:r w:rsidRPr="003015C7">
        <w:t xml:space="preserve"> furent les premiers à identifier une substance protéique capable d'inhiber</w:t>
      </w:r>
      <w:r>
        <w:t xml:space="preserve"> </w:t>
      </w:r>
      <w:r w:rsidRPr="003015C7">
        <w:t xml:space="preserve">plusieurs espèces bactériennes comme </w:t>
      </w:r>
      <w:r w:rsidRPr="003015C7">
        <w:rPr>
          <w:i/>
          <w:iCs/>
        </w:rPr>
        <w:t>Staphylococcus aureus, Escherichia coli, Salmonella</w:t>
      </w:r>
      <w:r>
        <w:rPr>
          <w:i/>
          <w:iCs/>
        </w:rPr>
        <w:t xml:space="preserve"> </w:t>
      </w:r>
      <w:r w:rsidRPr="003015C7">
        <w:rPr>
          <w:i/>
          <w:iCs/>
        </w:rPr>
        <w:t xml:space="preserve">typhosa </w:t>
      </w:r>
      <w:r w:rsidRPr="00C30C8C">
        <w:rPr>
          <w:color w:val="0000FF"/>
        </w:rPr>
        <w:t xml:space="preserve">(Anand </w:t>
      </w:r>
      <w:r w:rsidRPr="00C30C8C">
        <w:rPr>
          <w:i/>
          <w:iCs/>
          <w:color w:val="0000FF"/>
        </w:rPr>
        <w:t>et al</w:t>
      </w:r>
      <w:r w:rsidRPr="00C30C8C">
        <w:rPr>
          <w:color w:val="0000FF"/>
        </w:rPr>
        <w:t xml:space="preserve">., 1984; Anand </w:t>
      </w:r>
      <w:r w:rsidRPr="00C30C8C">
        <w:rPr>
          <w:i/>
          <w:iCs/>
          <w:color w:val="0000FF"/>
        </w:rPr>
        <w:t>et al</w:t>
      </w:r>
      <w:r w:rsidRPr="00C30C8C">
        <w:rPr>
          <w:color w:val="0000FF"/>
        </w:rPr>
        <w:t>., 1985)</w:t>
      </w:r>
      <w:r w:rsidRPr="00C30C8C">
        <w:t>.</w:t>
      </w:r>
      <w:r w:rsidRPr="003015C7">
        <w:rPr>
          <w:color w:val="FF0000"/>
        </w:rPr>
        <w:t xml:space="preserve"> </w:t>
      </w:r>
      <w:r w:rsidRPr="003015C7">
        <w:t xml:space="preserve">Ces deux études ont démontré que </w:t>
      </w:r>
      <w:smartTag w:uri="urn:schemas-microsoft-com:office:smarttags" w:element="PersonName">
        <w:smartTagPr>
          <w:attr w:name="ProductID" w:val="la Bifidin"/>
        </w:smartTagPr>
        <w:r w:rsidRPr="003015C7">
          <w:t>la</w:t>
        </w:r>
        <w:r>
          <w:t xml:space="preserve"> </w:t>
        </w:r>
        <w:r w:rsidRPr="003015C7">
          <w:t>Bifidin</w:t>
        </w:r>
      </w:smartTag>
      <w:r w:rsidRPr="003015C7">
        <w:t xml:space="preserve"> possédait les caractéristiques essentielles d'une bactériocine. </w:t>
      </w:r>
    </w:p>
    <w:p w:rsidR="00582946" w:rsidRPr="003015C7" w:rsidRDefault="00582946" w:rsidP="00582946">
      <w:pPr>
        <w:autoSpaceDE w:val="0"/>
        <w:autoSpaceDN w:val="0"/>
        <w:adjustRightInd w:val="0"/>
        <w:spacing w:before="120" w:after="120" w:line="360" w:lineRule="auto"/>
        <w:ind w:firstLine="708"/>
        <w:jc w:val="both"/>
      </w:pPr>
      <w:r w:rsidRPr="003015C7">
        <w:t>Elle est de nature</w:t>
      </w:r>
      <w:r>
        <w:t xml:space="preserve"> </w:t>
      </w:r>
      <w:r w:rsidRPr="003015C7">
        <w:t>protéique (détermination de la composition en acide aminé de la substance extraite),</w:t>
      </w:r>
      <w:r>
        <w:t xml:space="preserve"> </w:t>
      </w:r>
      <w:r w:rsidRPr="003015C7">
        <w:t xml:space="preserve">résistante aux traitements thermiques (30 minutes à </w:t>
      </w:r>
      <w:smartTag w:uri="urn:schemas-microsoft-com:office:smarttags" w:element="metricconverter">
        <w:smartTagPr>
          <w:attr w:name="ProductID" w:val="100ﾰC"/>
        </w:smartTagPr>
        <w:r w:rsidRPr="003015C7">
          <w:t>100°C</w:t>
        </w:r>
      </w:smartTag>
      <w:r w:rsidRPr="003015C7">
        <w:t>) et conserve son activité à un pH</w:t>
      </w:r>
      <w:r>
        <w:t xml:space="preserve"> </w:t>
      </w:r>
      <w:r w:rsidRPr="003015C7">
        <w:t>de 4</w:t>
      </w:r>
      <w:r>
        <w:t>.</w:t>
      </w:r>
      <w:r w:rsidRPr="003015C7">
        <w:t>5.</w:t>
      </w:r>
    </w:p>
    <w:p w:rsidR="00582946" w:rsidRPr="003015C7" w:rsidRDefault="00582946" w:rsidP="00582946">
      <w:pPr>
        <w:autoSpaceDE w:val="0"/>
        <w:autoSpaceDN w:val="0"/>
        <w:adjustRightInd w:val="0"/>
        <w:spacing w:before="120" w:after="120" w:line="360" w:lineRule="auto"/>
        <w:ind w:firstLine="708"/>
        <w:jc w:val="both"/>
      </w:pPr>
      <w:r w:rsidRPr="003015C7">
        <w:t>Par la suite, il a fallu attendre plusieurs années avant de revoir une autre étude sur la</w:t>
      </w:r>
      <w:r>
        <w:t xml:space="preserve"> </w:t>
      </w:r>
      <w:r w:rsidRPr="003015C7">
        <w:t xml:space="preserve">production par les bifidobactéries d'une substance protéique pouvant ressembler à </w:t>
      </w:r>
      <w:r w:rsidRPr="003015C7">
        <w:lastRenderedPageBreak/>
        <w:t>une</w:t>
      </w:r>
      <w:r>
        <w:t xml:space="preserve"> </w:t>
      </w:r>
      <w:r w:rsidRPr="003015C7">
        <w:t xml:space="preserve">bactériocine. En effet, </w:t>
      </w:r>
      <w:r w:rsidRPr="00D44228">
        <w:rPr>
          <w:color w:val="0000FF"/>
        </w:rPr>
        <w:t xml:space="preserve">Meghrous </w:t>
      </w:r>
      <w:r w:rsidRPr="00D44228">
        <w:rPr>
          <w:i/>
          <w:iCs/>
          <w:color w:val="0000FF"/>
        </w:rPr>
        <w:t>et al</w:t>
      </w:r>
      <w:r w:rsidRPr="00D44228">
        <w:rPr>
          <w:color w:val="0000FF"/>
        </w:rPr>
        <w:t>. (1990)</w:t>
      </w:r>
      <w:r w:rsidRPr="003015C7">
        <w:t xml:space="preserve"> ont criblé plusieurs espèces de</w:t>
      </w:r>
      <w:r>
        <w:t xml:space="preserve"> </w:t>
      </w:r>
      <w:r w:rsidRPr="003015C7">
        <w:t>bifidobactéries pour vérifier leur production de substances anti-microbiennes.</w:t>
      </w:r>
    </w:p>
    <w:p w:rsidR="00582946" w:rsidRDefault="00582946" w:rsidP="00582946">
      <w:pPr>
        <w:autoSpaceDE w:val="0"/>
        <w:autoSpaceDN w:val="0"/>
        <w:adjustRightInd w:val="0"/>
        <w:spacing w:before="120" w:after="120" w:line="360" w:lineRule="auto"/>
        <w:ind w:firstLine="708"/>
        <w:jc w:val="both"/>
      </w:pPr>
      <w:r w:rsidRPr="003015C7">
        <w:t>Plusieurs tests ont été effectués sur ces substances pour s'assurer que</w:t>
      </w:r>
      <w:r>
        <w:t xml:space="preserve"> </w:t>
      </w:r>
      <w:r w:rsidRPr="003015C7">
        <w:t>l'inhibition n'était pas due à un métabolite bactérien comme l'acide lactique. Tout d'abord,</w:t>
      </w:r>
      <w:r>
        <w:t xml:space="preserve"> </w:t>
      </w:r>
      <w:r w:rsidRPr="003015C7">
        <w:t>la substance inhibitrice est active pour des valeurs de pH situées entre 2</w:t>
      </w:r>
      <w:r>
        <w:t>.</w:t>
      </w:r>
      <w:r w:rsidRPr="003015C7">
        <w:t>0 et 10</w:t>
      </w:r>
      <w:r>
        <w:t>.</w:t>
      </w:r>
      <w:r w:rsidRPr="003015C7">
        <w:t xml:space="preserve">0. </w:t>
      </w:r>
    </w:p>
    <w:p w:rsidR="00582946" w:rsidRPr="003015C7" w:rsidRDefault="00582946" w:rsidP="00582946">
      <w:pPr>
        <w:autoSpaceDE w:val="0"/>
        <w:autoSpaceDN w:val="0"/>
        <w:adjustRightInd w:val="0"/>
        <w:spacing w:before="120" w:after="120" w:line="360" w:lineRule="auto"/>
        <w:ind w:firstLine="708"/>
        <w:jc w:val="both"/>
      </w:pPr>
      <w:r w:rsidRPr="003015C7">
        <w:t>Elle est</w:t>
      </w:r>
      <w:r>
        <w:t xml:space="preserve"> </w:t>
      </w:r>
      <w:r w:rsidRPr="003015C7">
        <w:t>thermorésistante (activité était conservée après des traitements de plus de 15 minutes à</w:t>
      </w:r>
      <w:r>
        <w:t xml:space="preserve"> </w:t>
      </w:r>
      <w:r w:rsidRPr="003015C7">
        <w:t>100</w:t>
      </w:r>
      <w:r>
        <w:t xml:space="preserve"> </w:t>
      </w:r>
      <w:r w:rsidRPr="003015C7">
        <w:t xml:space="preserve">°C et </w:t>
      </w:r>
      <w:smartTag w:uri="urn:schemas-microsoft-com:office:smarttags" w:element="metricconverter">
        <w:smartTagPr>
          <w:attr w:name="ProductID" w:val="121 ﾰC"/>
        </w:smartTagPr>
        <w:r w:rsidRPr="003015C7">
          <w:t>121 °C</w:t>
        </w:r>
      </w:smartTag>
      <w:r w:rsidRPr="003015C7">
        <w:t>) et est de nature protéique (perte d'activité suite à une exposition à des</w:t>
      </w:r>
      <w:r>
        <w:t xml:space="preserve"> </w:t>
      </w:r>
      <w:r w:rsidRPr="003015C7">
        <w:t>protéases). Ces caractéristiques de la substance inhibitrice extraite ont permis aux auteurs</w:t>
      </w:r>
      <w:r>
        <w:t xml:space="preserve"> </w:t>
      </w:r>
      <w:r w:rsidRPr="003015C7">
        <w:t xml:space="preserve">de conclure qu'elle était bien une bactériocine </w:t>
      </w:r>
      <w:r w:rsidRPr="00C30C8C">
        <w:rPr>
          <w:color w:val="0000FF"/>
        </w:rPr>
        <w:t xml:space="preserve">(Meghrous </w:t>
      </w:r>
      <w:r w:rsidRPr="00C30C8C">
        <w:rPr>
          <w:i/>
          <w:iCs/>
          <w:color w:val="0000FF"/>
        </w:rPr>
        <w:t>et al</w:t>
      </w:r>
      <w:r w:rsidRPr="00C30C8C">
        <w:rPr>
          <w:color w:val="0000FF"/>
        </w:rPr>
        <w:t>., 1990)</w:t>
      </w:r>
      <w:r w:rsidRPr="00C30C8C">
        <w:t>.</w:t>
      </w:r>
    </w:p>
    <w:p w:rsidR="00582946" w:rsidRPr="003015C7" w:rsidRDefault="00582946" w:rsidP="00582946">
      <w:pPr>
        <w:autoSpaceDE w:val="0"/>
        <w:autoSpaceDN w:val="0"/>
        <w:adjustRightInd w:val="0"/>
        <w:spacing w:before="120" w:after="120" w:line="360" w:lineRule="auto"/>
        <w:ind w:firstLine="708"/>
        <w:jc w:val="both"/>
      </w:pPr>
      <w:r w:rsidRPr="003015C7">
        <w:t xml:space="preserve">Plus récemment, </w:t>
      </w:r>
      <w:r w:rsidRPr="00D44228">
        <w:rPr>
          <w:color w:val="0000FF"/>
        </w:rPr>
        <w:t xml:space="preserve">Yildirim </w:t>
      </w:r>
      <w:r w:rsidRPr="00D44228">
        <w:rPr>
          <w:i/>
          <w:iCs/>
          <w:color w:val="0000FF"/>
        </w:rPr>
        <w:t>et al</w:t>
      </w:r>
      <w:r w:rsidRPr="00D44228">
        <w:rPr>
          <w:color w:val="0000FF"/>
        </w:rPr>
        <w:t>.</w:t>
      </w:r>
      <w:r w:rsidRPr="003015C7">
        <w:t xml:space="preserve"> ont démontré la production d'une bactériocine par</w:t>
      </w:r>
      <w:r>
        <w:t xml:space="preserve"> </w:t>
      </w:r>
      <w:r w:rsidRPr="003015C7">
        <w:rPr>
          <w:i/>
          <w:iCs/>
        </w:rPr>
        <w:t xml:space="preserve">Bifidobacterium bifidum </w:t>
      </w:r>
      <w:r w:rsidRPr="003015C7">
        <w:t xml:space="preserve">NCFB 1454 </w:t>
      </w:r>
      <w:r w:rsidRPr="00C30C8C">
        <w:rPr>
          <w:color w:val="0000FF"/>
        </w:rPr>
        <w:t xml:space="preserve">(Yildirim et Johnson, 1998; Yildirim </w:t>
      </w:r>
      <w:r w:rsidRPr="00C30C8C">
        <w:rPr>
          <w:i/>
          <w:iCs/>
          <w:color w:val="0000FF"/>
        </w:rPr>
        <w:t>et al</w:t>
      </w:r>
      <w:r w:rsidRPr="00C30C8C">
        <w:rPr>
          <w:color w:val="0000FF"/>
        </w:rPr>
        <w:t>., 1999)</w:t>
      </w:r>
      <w:r w:rsidRPr="00C30C8C">
        <w:t>.</w:t>
      </w:r>
      <w:r>
        <w:rPr>
          <w:color w:val="FF0000"/>
        </w:rPr>
        <w:t xml:space="preserve"> </w:t>
      </w:r>
      <w:r w:rsidRPr="003015C7">
        <w:t>Ces deux études peuvent être considérées comme les premières rapportant la production de</w:t>
      </w:r>
      <w:r>
        <w:t xml:space="preserve"> </w:t>
      </w:r>
      <w:r w:rsidRPr="003015C7">
        <w:t>bactériocines chez une souche de bifid</w:t>
      </w:r>
      <w:r>
        <w:t>e</w:t>
      </w:r>
      <w:r w:rsidRPr="003015C7">
        <w:t>. Les auteurs ont très bien caractérisé la</w:t>
      </w:r>
      <w:r>
        <w:t xml:space="preserve"> </w:t>
      </w:r>
      <w:r w:rsidRPr="003015C7">
        <w:t xml:space="preserve">bifidocin B tant au niveau moléculaire qu'au niveau de ses propriétés. </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En effet, la bifidocin B est un polypeptide contenant une seule chaîne de 36 acides aminés et possède un poids moléculaire calculé de 4432</w:t>
      </w:r>
      <w:r>
        <w:t>.</w:t>
      </w:r>
      <w:r w:rsidRPr="003015C7">
        <w:t>9 Da (4</w:t>
      </w:r>
      <w:r>
        <w:t>.</w:t>
      </w:r>
      <w:r w:rsidRPr="003015C7">
        <w:t xml:space="preserve">4 kDa). La bifidocin B ne contient pas d'acide aminé non commun comme la désydroalanine ou la désydrobutyrine, l'excluant de la classe des lantibiotiques </w:t>
      </w:r>
      <w:r w:rsidRPr="00C30C8C">
        <w:rPr>
          <w:color w:val="0000FF"/>
        </w:rPr>
        <w:t>(Klaenhammer</w:t>
      </w:r>
      <w:r>
        <w:rPr>
          <w:color w:val="0000FF"/>
        </w:rPr>
        <w:t>,</w:t>
      </w:r>
      <w:r w:rsidRPr="00C30C8C">
        <w:rPr>
          <w:color w:val="0000FF"/>
        </w:rPr>
        <w:t xml:space="preserve"> 1993)</w:t>
      </w:r>
      <w:r w:rsidRPr="00C30C8C">
        <w:t>.</w:t>
      </w:r>
    </w:p>
    <w:p w:rsidR="00582946" w:rsidRPr="003015C7" w:rsidRDefault="00582946" w:rsidP="00582946">
      <w:pPr>
        <w:autoSpaceDE w:val="0"/>
        <w:autoSpaceDN w:val="0"/>
        <w:adjustRightInd w:val="0"/>
        <w:spacing w:before="120" w:after="120" w:line="360" w:lineRule="auto"/>
        <w:ind w:firstLine="708"/>
        <w:jc w:val="both"/>
      </w:pPr>
      <w:r w:rsidRPr="003015C7">
        <w:rPr>
          <w:color w:val="FF0000"/>
        </w:rPr>
        <w:t xml:space="preserve"> </w:t>
      </w:r>
      <w:r w:rsidRPr="003015C7">
        <w:t>Toujours selon la classification des bactériocines produites par les bactéries lactiques proposée par Klaenhammer, la bifidocin B appartiendrait à la classe Ha. La classe II est composée de courts peptides (&lt;10 kDa) actifs au niveau de la membrane cytoplasmique qui n'appartiennent pas à la classe des lantibiotiques.</w:t>
      </w:r>
    </w:p>
    <w:p w:rsidR="00582946" w:rsidRDefault="00582946" w:rsidP="00582946">
      <w:pPr>
        <w:autoSpaceDE w:val="0"/>
        <w:autoSpaceDN w:val="0"/>
        <w:adjustRightInd w:val="0"/>
        <w:spacing w:before="120" w:after="120" w:line="360" w:lineRule="auto"/>
        <w:ind w:firstLine="708"/>
        <w:jc w:val="both"/>
      </w:pPr>
      <w:r w:rsidRPr="003015C7">
        <w:t xml:space="preserve"> La sous catégorie Ha correspond aux bactériocines appartenant à la classe II</w:t>
      </w:r>
      <w:r>
        <w:t xml:space="preserve"> </w:t>
      </w:r>
      <w:r w:rsidRPr="003015C7">
        <w:t xml:space="preserve">qui sont aussi actifs contre les membres du genre </w:t>
      </w:r>
      <w:r w:rsidRPr="00B70668">
        <w:rPr>
          <w:i/>
          <w:iCs/>
        </w:rPr>
        <w:t xml:space="preserve">Listeria </w:t>
      </w:r>
      <w:r w:rsidRPr="003015C7">
        <w:rPr>
          <w:i/>
          <w:iCs/>
        </w:rPr>
        <w:t xml:space="preserve"> </w:t>
      </w:r>
      <w:r w:rsidRPr="003015C7">
        <w:t>et possèdent une région</w:t>
      </w:r>
      <w:r>
        <w:t xml:space="preserve"> </w:t>
      </w:r>
      <w:r w:rsidRPr="003015C7">
        <w:t>consensus à la portion N-terminale composé des acides aminés Tyr-Gly-Asn-Gly-Val.</w:t>
      </w:r>
    </w:p>
    <w:p w:rsidR="00582946" w:rsidRPr="003015C7" w:rsidRDefault="00582946" w:rsidP="00582946">
      <w:pPr>
        <w:autoSpaceDE w:val="0"/>
        <w:autoSpaceDN w:val="0"/>
        <w:adjustRightInd w:val="0"/>
        <w:spacing w:before="120" w:after="120" w:line="360" w:lineRule="auto"/>
        <w:ind w:firstLine="708"/>
        <w:jc w:val="both"/>
        <w:rPr>
          <w:i/>
          <w:iCs/>
        </w:rPr>
      </w:pPr>
      <w:r w:rsidRPr="003015C7">
        <w:t>En</w:t>
      </w:r>
      <w:r>
        <w:t xml:space="preserve"> </w:t>
      </w:r>
      <w:r w:rsidRPr="003015C7">
        <w:t xml:space="preserve">plus d'être active contre </w:t>
      </w:r>
      <w:r w:rsidRPr="00B70668">
        <w:rPr>
          <w:i/>
          <w:iCs/>
        </w:rPr>
        <w:t>Listeria,</w:t>
      </w:r>
      <w:r w:rsidRPr="003015C7">
        <w:rPr>
          <w:i/>
          <w:iCs/>
        </w:rPr>
        <w:t xml:space="preserve"> </w:t>
      </w:r>
      <w:r w:rsidRPr="003015C7">
        <w:t>la bifidocin B est active contre plusieurs genres bactériens</w:t>
      </w:r>
      <w:r>
        <w:t xml:space="preserve"> </w:t>
      </w:r>
      <w:r w:rsidRPr="003015C7">
        <w:t xml:space="preserve">Gram-positif comme </w:t>
      </w:r>
      <w:r w:rsidRPr="003015C7">
        <w:rPr>
          <w:i/>
          <w:iCs/>
        </w:rPr>
        <w:t xml:space="preserve">Enterococcus, Bacillus, Lactobacillus, Leuconostoc </w:t>
      </w:r>
      <w:r w:rsidRPr="003015C7">
        <w:t xml:space="preserve">et </w:t>
      </w:r>
      <w:r w:rsidRPr="003015C7">
        <w:rPr>
          <w:i/>
          <w:iCs/>
        </w:rPr>
        <w:t>Pediococcus.</w:t>
      </w:r>
    </w:p>
    <w:p w:rsidR="00582946" w:rsidRPr="003015C7" w:rsidRDefault="00582946" w:rsidP="00582946">
      <w:pPr>
        <w:autoSpaceDE w:val="0"/>
        <w:autoSpaceDN w:val="0"/>
        <w:adjustRightInd w:val="0"/>
        <w:spacing w:before="120" w:after="120" w:line="360" w:lineRule="auto"/>
        <w:ind w:firstLine="708"/>
        <w:jc w:val="both"/>
      </w:pPr>
      <w:r w:rsidRPr="003015C7">
        <w:t>Elle n'est cependant pas active contre les bactéries Gram-négatif. Ceci est dû à la cible</w:t>
      </w:r>
      <w:r>
        <w:t xml:space="preserve"> </w:t>
      </w:r>
      <w:r w:rsidRPr="003015C7">
        <w:t>membranaire de la bifidocin B qui est l'acide lipoteichoique (LTA). Ce composé n'est</w:t>
      </w:r>
      <w:r>
        <w:t xml:space="preserve"> </w:t>
      </w:r>
      <w:r w:rsidRPr="003015C7">
        <w:t>présent</w:t>
      </w:r>
      <w:r>
        <w:t xml:space="preserve"> </w:t>
      </w:r>
      <w:r w:rsidRPr="003015C7">
        <w:t>que chez les bactéries Gram négatif.</w:t>
      </w:r>
    </w:p>
    <w:p w:rsidR="00582946" w:rsidRDefault="00582946" w:rsidP="00582946">
      <w:pPr>
        <w:autoSpaceDE w:val="0"/>
        <w:autoSpaceDN w:val="0"/>
        <w:adjustRightInd w:val="0"/>
        <w:spacing w:before="120" w:after="120" w:line="360" w:lineRule="auto"/>
        <w:ind w:firstLine="708"/>
        <w:jc w:val="both"/>
      </w:pPr>
      <w:r w:rsidRPr="003015C7">
        <w:lastRenderedPageBreak/>
        <w:t>La bifidocin B est résistante aux traitements thermiques (50% d'activité résiduelle</w:t>
      </w:r>
      <w:r>
        <w:t xml:space="preserve"> </w:t>
      </w:r>
      <w:r w:rsidRPr="003015C7">
        <w:t xml:space="preserve">après une stérilisation à </w:t>
      </w:r>
      <w:smartTag w:uri="urn:schemas-microsoft-com:office:smarttags" w:element="metricconverter">
        <w:smartTagPr>
          <w:attr w:name="ProductID" w:val="121 ﾰC"/>
        </w:smartTagPr>
        <w:r w:rsidRPr="003015C7">
          <w:t>121 °C</w:t>
        </w:r>
      </w:smartTag>
      <w:r w:rsidRPr="003015C7">
        <w:t xml:space="preserve"> pendant 15 minutes). De plus, son activité est plus grande à</w:t>
      </w:r>
      <w:r>
        <w:t xml:space="preserve"> </w:t>
      </w:r>
      <w:r w:rsidRPr="003015C7">
        <w:t>des pH acides avec une activité maximale pour des valeurs de pH situées entre 5</w:t>
      </w:r>
      <w:r>
        <w:t>.</w:t>
      </w:r>
      <w:r w:rsidRPr="003015C7">
        <w:t>0 et 7</w:t>
      </w:r>
      <w:r>
        <w:t>.</w:t>
      </w:r>
      <w:r w:rsidRPr="003015C7">
        <w:t>0.</w:t>
      </w:r>
      <w:r>
        <w:t xml:space="preserve"> </w:t>
      </w:r>
    </w:p>
    <w:p w:rsidR="00582946" w:rsidRDefault="00582946" w:rsidP="00582946">
      <w:pPr>
        <w:autoSpaceDE w:val="0"/>
        <w:autoSpaceDN w:val="0"/>
        <w:adjustRightInd w:val="0"/>
        <w:spacing w:before="120" w:after="120" w:line="360" w:lineRule="auto"/>
        <w:ind w:firstLine="708"/>
        <w:jc w:val="both"/>
      </w:pPr>
      <w:r w:rsidRPr="003015C7">
        <w:t xml:space="preserve">L'adsorption de la </w:t>
      </w:r>
      <w:r w:rsidRPr="00A3247F">
        <w:t xml:space="preserve">bactériocine </w:t>
      </w:r>
      <w:r w:rsidRPr="003015C7">
        <w:t xml:space="preserve"> sur les bactéries est inhibée par l'ajout d'acide</w:t>
      </w:r>
      <w:r>
        <w:t xml:space="preserve"> </w:t>
      </w:r>
      <w:r w:rsidRPr="003015C7">
        <w:t>lipoteichoique (LTA), confirmant l'implication de ce composé comme récepteur de la</w:t>
      </w:r>
      <w:r>
        <w:t xml:space="preserve"> </w:t>
      </w:r>
      <w:r w:rsidRPr="003015C7">
        <w:t xml:space="preserve">bactériocine. </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En plus d'être inhibée complètement par l'ajout de LTA, l'activité de la</w:t>
      </w:r>
      <w:r>
        <w:t xml:space="preserve"> </w:t>
      </w:r>
      <w:r w:rsidRPr="003015C7">
        <w:t>bifidocin B est partiellement bloquée par l'ajout de NH</w:t>
      </w:r>
      <w:r w:rsidRPr="007F18F8">
        <w:rPr>
          <w:vertAlign w:val="subscript"/>
        </w:rPr>
        <w:t>4</w:t>
      </w:r>
      <w:r w:rsidRPr="003015C7">
        <w:t>C1, MgCl</w:t>
      </w:r>
      <w:r w:rsidRPr="007F18F8">
        <w:rPr>
          <w:vertAlign w:val="subscript"/>
        </w:rPr>
        <w:t>2</w:t>
      </w:r>
      <w:r w:rsidRPr="003015C7">
        <w:t>, KC1 et de Tris-HCl</w:t>
      </w:r>
      <w:r>
        <w:t xml:space="preserve"> </w:t>
      </w:r>
      <w:r w:rsidRPr="00C30C8C">
        <w:rPr>
          <w:color w:val="0000FF"/>
        </w:rPr>
        <w:t>(Yildirim et Johnson, 1998</w:t>
      </w:r>
      <w:r>
        <w:rPr>
          <w:color w:val="0000FF"/>
        </w:rPr>
        <w:t xml:space="preserve"> </w:t>
      </w:r>
      <w:r w:rsidRPr="00C30C8C">
        <w:rPr>
          <w:color w:val="0000FF"/>
        </w:rPr>
        <w:t xml:space="preserve">; Yildirim </w:t>
      </w:r>
      <w:r w:rsidRPr="00C30C8C">
        <w:rPr>
          <w:i/>
          <w:iCs/>
          <w:color w:val="0000FF"/>
        </w:rPr>
        <w:t>et al</w:t>
      </w:r>
      <w:r w:rsidRPr="00C30C8C">
        <w:rPr>
          <w:color w:val="0000FF"/>
        </w:rPr>
        <w:t>., 1999)</w:t>
      </w:r>
      <w:r w:rsidRPr="00C30C8C">
        <w:t>.</w:t>
      </w:r>
    </w:p>
    <w:p w:rsidR="00582946" w:rsidRDefault="00582946" w:rsidP="00582946">
      <w:pPr>
        <w:autoSpaceDE w:val="0"/>
        <w:autoSpaceDN w:val="0"/>
        <w:adjustRightInd w:val="0"/>
        <w:spacing w:before="120" w:after="120" w:line="360" w:lineRule="auto"/>
        <w:ind w:firstLine="708"/>
        <w:jc w:val="both"/>
      </w:pPr>
      <w:r w:rsidRPr="003015C7">
        <w:t>Le mode d'action proposé pour la bifidocin B est divisé en deux étapes. La première</w:t>
      </w:r>
      <w:r>
        <w:t xml:space="preserve"> </w:t>
      </w:r>
      <w:r w:rsidRPr="003015C7">
        <w:t>constitue la liaison de la bactériocine avec les molécules de LTA présentes sur la cellule</w:t>
      </w:r>
      <w:r>
        <w:t xml:space="preserve"> </w:t>
      </w:r>
      <w:r w:rsidRPr="003015C7">
        <w:t xml:space="preserve">bactérienne. </w:t>
      </w:r>
    </w:p>
    <w:p w:rsidR="00582946" w:rsidRPr="003015C7" w:rsidRDefault="00582946" w:rsidP="00582946">
      <w:pPr>
        <w:autoSpaceDE w:val="0"/>
        <w:autoSpaceDN w:val="0"/>
        <w:adjustRightInd w:val="0"/>
        <w:spacing w:before="120" w:after="120" w:line="360" w:lineRule="auto"/>
        <w:ind w:firstLine="708"/>
        <w:jc w:val="both"/>
      </w:pPr>
      <w:r w:rsidRPr="003015C7">
        <w:t>En deuxième lieu, une fois que les sites de liaisons aux LTA sont saturés, les</w:t>
      </w:r>
      <w:r>
        <w:t xml:space="preserve"> </w:t>
      </w:r>
      <w:r w:rsidRPr="003015C7">
        <w:t>molécules de bactériocine se lient à un récepteur spécifique ou létal pour mener à la</w:t>
      </w:r>
      <w:r>
        <w:t xml:space="preserve"> </w:t>
      </w:r>
      <w:r w:rsidRPr="003015C7">
        <w:t>formation de pores.</w:t>
      </w:r>
      <w:r>
        <w:t xml:space="preserve"> </w:t>
      </w:r>
      <w:r w:rsidRPr="003015C7">
        <w:t>Ces pores provoquent une perte de l'intégrité de la membrane</w:t>
      </w:r>
      <w:r>
        <w:t xml:space="preserve"> </w:t>
      </w:r>
      <w:r w:rsidRPr="003015C7">
        <w:t>cytoplasmique ce qui mène à la perte d'ions potassium et de petites molécules essentielles.</w:t>
      </w:r>
    </w:p>
    <w:p w:rsidR="00582946" w:rsidRPr="003015C7" w:rsidRDefault="00582946" w:rsidP="00582946">
      <w:pPr>
        <w:autoSpaceDE w:val="0"/>
        <w:autoSpaceDN w:val="0"/>
        <w:adjustRightInd w:val="0"/>
        <w:spacing w:before="120" w:after="120" w:line="360" w:lineRule="auto"/>
        <w:ind w:firstLine="708"/>
        <w:jc w:val="both"/>
      </w:pPr>
      <w:r w:rsidRPr="003015C7">
        <w:t xml:space="preserve">Ce processus conduit à la mort cellulaire sans toutefois qu'il n'y ait lyse cellulaire </w:t>
      </w:r>
      <w:r w:rsidRPr="00C30C8C">
        <w:rPr>
          <w:color w:val="0000FF"/>
        </w:rPr>
        <w:t xml:space="preserve">(Yildirim </w:t>
      </w:r>
      <w:r w:rsidRPr="00C30C8C">
        <w:rPr>
          <w:i/>
          <w:iCs/>
          <w:color w:val="0000FF"/>
        </w:rPr>
        <w:t>et al</w:t>
      </w:r>
      <w:r w:rsidRPr="00C30C8C">
        <w:rPr>
          <w:color w:val="0000FF"/>
        </w:rPr>
        <w:t>., 1999)</w:t>
      </w:r>
      <w:r w:rsidRPr="00C30C8C">
        <w:t xml:space="preserve">. </w:t>
      </w:r>
      <w:r w:rsidRPr="003015C7">
        <w:t>Le gène</w:t>
      </w:r>
      <w:r>
        <w:t xml:space="preserve"> codant</w:t>
      </w:r>
      <w:r w:rsidRPr="003015C7">
        <w:t xml:space="preserve"> pour la production de la bactériocine était situé sur un plasmide de 8 kb présent dans la bactérie. De plus, ils ont déterminé que les gènes impliqués dans l'immunité face à la </w:t>
      </w:r>
      <w:r w:rsidRPr="00A3247F">
        <w:t xml:space="preserve">bactériocine </w:t>
      </w:r>
      <w:r w:rsidRPr="003015C7">
        <w:t xml:space="preserve"> n'étaient pas situés sur ce même plasmide </w:t>
      </w:r>
      <w:r w:rsidRPr="00C30C8C">
        <w:rPr>
          <w:color w:val="0000FF"/>
        </w:rPr>
        <w:t xml:space="preserve">(Yildirim </w:t>
      </w:r>
      <w:r w:rsidRPr="00C30C8C">
        <w:rPr>
          <w:i/>
          <w:iCs/>
          <w:color w:val="0000FF"/>
        </w:rPr>
        <w:t>et al</w:t>
      </w:r>
      <w:r w:rsidRPr="00C30C8C">
        <w:rPr>
          <w:color w:val="0000FF"/>
        </w:rPr>
        <w:t>., 1999)</w:t>
      </w:r>
      <w:r w:rsidRPr="00C30C8C">
        <w:t>.</w:t>
      </w:r>
    </w:p>
    <w:p w:rsidR="00582946" w:rsidRPr="003015C7" w:rsidRDefault="00582946" w:rsidP="00582946">
      <w:pPr>
        <w:autoSpaceDE w:val="0"/>
        <w:autoSpaceDN w:val="0"/>
        <w:adjustRightInd w:val="0"/>
        <w:spacing w:before="120" w:after="120" w:line="360" w:lineRule="auto"/>
        <w:ind w:firstLine="708"/>
        <w:jc w:val="both"/>
        <w:rPr>
          <w:i/>
          <w:iCs/>
        </w:rPr>
      </w:pPr>
      <w:r w:rsidRPr="003015C7">
        <w:t xml:space="preserve">Dernièrement, </w:t>
      </w:r>
      <w:r w:rsidRPr="00C30C8C">
        <w:rPr>
          <w:color w:val="0000FF"/>
        </w:rPr>
        <w:t xml:space="preserve">Touré </w:t>
      </w:r>
      <w:r w:rsidRPr="00C30C8C">
        <w:rPr>
          <w:i/>
          <w:iCs/>
          <w:color w:val="0000FF"/>
        </w:rPr>
        <w:t>et al</w:t>
      </w:r>
      <w:r w:rsidRPr="00C30C8C">
        <w:rPr>
          <w:color w:val="0000FF"/>
        </w:rPr>
        <w:t>. (2003)</w:t>
      </w:r>
      <w:r w:rsidRPr="003015C7">
        <w:t xml:space="preserve"> ont isolé à partir de fèces de nouveaux-nés</w:t>
      </w:r>
      <w:r>
        <w:t xml:space="preserve"> </w:t>
      </w:r>
      <w:r w:rsidRPr="003015C7">
        <w:t>nourris au sein des souches de bifidobactéries qui produisent des composés protéiques</w:t>
      </w:r>
      <w:r>
        <w:t xml:space="preserve"> </w:t>
      </w:r>
      <w:r w:rsidRPr="003015C7">
        <w:t>apparentés aux bactériocines. Ces auteurs ont démontré que les composés actifs extraits des</w:t>
      </w:r>
      <w:r>
        <w:t xml:space="preserve"> </w:t>
      </w:r>
      <w:r w:rsidRPr="003015C7">
        <w:t xml:space="preserve">surnageants de culture de ces souches inhibaient la croissance de </w:t>
      </w:r>
      <w:r w:rsidRPr="00B70668">
        <w:rPr>
          <w:i/>
          <w:iCs/>
        </w:rPr>
        <w:t xml:space="preserve">Listeria </w:t>
      </w:r>
      <w:r w:rsidRPr="003015C7">
        <w:rPr>
          <w:i/>
          <w:iCs/>
        </w:rPr>
        <w:t xml:space="preserve"> monocytogenes.</w:t>
      </w:r>
    </w:p>
    <w:p w:rsidR="00582946" w:rsidRPr="003015C7" w:rsidRDefault="00582946" w:rsidP="00582946">
      <w:pPr>
        <w:autoSpaceDE w:val="0"/>
        <w:autoSpaceDN w:val="0"/>
        <w:adjustRightInd w:val="0"/>
        <w:spacing w:before="120" w:after="120" w:line="360" w:lineRule="auto"/>
        <w:ind w:firstLine="708"/>
        <w:jc w:val="both"/>
        <w:rPr>
          <w:color w:val="FF0000"/>
        </w:rPr>
      </w:pPr>
      <w:r w:rsidRPr="003015C7">
        <w:t xml:space="preserve">La nature protéique des composés extraits par l'inhibition de l'activité </w:t>
      </w:r>
      <w:r w:rsidRPr="003015C7">
        <w:rPr>
          <w:i/>
          <w:iCs/>
        </w:rPr>
        <w:t>anti-</w:t>
      </w:r>
      <w:r w:rsidRPr="00B70668">
        <w:rPr>
          <w:i/>
          <w:iCs/>
        </w:rPr>
        <w:t xml:space="preserve">Listeria </w:t>
      </w:r>
      <w:r w:rsidRPr="003015C7">
        <w:rPr>
          <w:i/>
          <w:iCs/>
        </w:rPr>
        <w:t xml:space="preserve"> </w:t>
      </w:r>
      <w:r w:rsidRPr="003015C7">
        <w:t xml:space="preserve">de ces derniers lorsqu'ils étaient traités avec des protéases (pronase-E et trypsine). De plus, ces composés antimicrobiens sont stables à la chaleur (résistent à un </w:t>
      </w:r>
      <w:r w:rsidRPr="003015C7">
        <w:lastRenderedPageBreak/>
        <w:t>traitement de 100</w:t>
      </w:r>
      <w:r>
        <w:t xml:space="preserve"> </w:t>
      </w:r>
      <w:r w:rsidRPr="003015C7">
        <w:t xml:space="preserve">°C pendant 10 minutes) et sont de nature amphipolaire </w:t>
      </w:r>
      <w:r w:rsidRPr="00C30C8C">
        <w:rPr>
          <w:color w:val="0000FF"/>
        </w:rPr>
        <w:t xml:space="preserve">(Touré </w:t>
      </w:r>
      <w:r w:rsidRPr="00C30C8C">
        <w:rPr>
          <w:i/>
          <w:iCs/>
          <w:color w:val="0000FF"/>
        </w:rPr>
        <w:t>et al</w:t>
      </w:r>
      <w:r w:rsidRPr="00C30C8C">
        <w:rPr>
          <w:color w:val="0000FF"/>
        </w:rPr>
        <w:t>., 2003)</w:t>
      </w:r>
      <w:r w:rsidRPr="00C30C8C">
        <w:t>.</w:t>
      </w:r>
    </w:p>
    <w:p w:rsidR="00582946" w:rsidRDefault="00582946" w:rsidP="00582946">
      <w:pPr>
        <w:autoSpaceDE w:val="0"/>
        <w:autoSpaceDN w:val="0"/>
        <w:adjustRightInd w:val="0"/>
        <w:spacing w:before="120" w:after="120" w:line="360" w:lineRule="auto"/>
        <w:ind w:firstLine="708"/>
        <w:jc w:val="both"/>
        <w:rPr>
          <w:b/>
          <w:bCs/>
        </w:rPr>
      </w:pPr>
      <w:r w:rsidRPr="00A916D5">
        <w:rPr>
          <w:b/>
        </w:rPr>
        <w:t>I.</w:t>
      </w:r>
      <w:r>
        <w:rPr>
          <w:b/>
        </w:rPr>
        <w:t>3</w:t>
      </w:r>
      <w:r w:rsidRPr="00A916D5">
        <w:rPr>
          <w:b/>
        </w:rPr>
        <w:t xml:space="preserve">. </w:t>
      </w:r>
      <w:r w:rsidRPr="00FD0A7B">
        <w:rPr>
          <w:b/>
          <w:bCs/>
        </w:rPr>
        <w:t xml:space="preserve">Les probiotiques </w:t>
      </w:r>
    </w:p>
    <w:p w:rsidR="00582946" w:rsidRPr="00FD0A7B" w:rsidRDefault="00582946" w:rsidP="00582946">
      <w:pPr>
        <w:autoSpaceDE w:val="0"/>
        <w:autoSpaceDN w:val="0"/>
        <w:adjustRightInd w:val="0"/>
        <w:spacing w:before="120" w:after="120" w:line="360" w:lineRule="auto"/>
        <w:ind w:firstLine="708"/>
        <w:jc w:val="both"/>
        <w:rPr>
          <w:b/>
          <w:bCs/>
        </w:rPr>
      </w:pPr>
      <w:r w:rsidRPr="00A916D5">
        <w:rPr>
          <w:b/>
        </w:rPr>
        <w:t>I.</w:t>
      </w:r>
      <w:r>
        <w:rPr>
          <w:b/>
        </w:rPr>
        <w:t>3</w:t>
      </w:r>
      <w:r w:rsidRPr="00A916D5">
        <w:rPr>
          <w:b/>
        </w:rPr>
        <w:t>.</w:t>
      </w:r>
      <w:r>
        <w:rPr>
          <w:b/>
        </w:rPr>
        <w:t>1.</w:t>
      </w:r>
      <w:r w:rsidRPr="00A916D5">
        <w:rPr>
          <w:b/>
        </w:rPr>
        <w:t xml:space="preserve"> </w:t>
      </w:r>
      <w:r w:rsidRPr="00FD0A7B">
        <w:rPr>
          <w:b/>
          <w:bCs/>
        </w:rPr>
        <w:t>Mécanismes d’action </w:t>
      </w:r>
    </w:p>
    <w:p w:rsidR="00582946" w:rsidRDefault="00582946" w:rsidP="00582946">
      <w:pPr>
        <w:pStyle w:val="NormalWeb"/>
        <w:spacing w:before="120" w:beforeAutospacing="0" w:after="120" w:afterAutospacing="0" w:line="360" w:lineRule="auto"/>
        <w:ind w:firstLine="709"/>
        <w:jc w:val="both"/>
      </w:pPr>
      <w:r w:rsidRPr="003015C7">
        <w:t xml:space="preserve">Les modes d’action par lesquels certains probiotiques exercent des effets protecteurs ou thérapeutiques ne sont pas complètement élucidés, mais plusieurs mécanismes ont été proposés </w:t>
      </w:r>
      <w:r w:rsidRPr="00A66A26">
        <w:rPr>
          <w:color w:val="0000FF"/>
        </w:rPr>
        <w:t xml:space="preserve">Isolauri </w:t>
      </w:r>
      <w:r w:rsidRPr="00C30C8C">
        <w:rPr>
          <w:i/>
          <w:iCs/>
          <w:color w:val="0000FF"/>
        </w:rPr>
        <w:t>et al</w:t>
      </w:r>
      <w:r w:rsidRPr="00A66A26">
        <w:rPr>
          <w:i/>
          <w:iCs/>
          <w:color w:val="0000FF"/>
        </w:rPr>
        <w:t>.,</w:t>
      </w:r>
      <w:r w:rsidRPr="00A66A26">
        <w:rPr>
          <w:color w:val="0000FF"/>
        </w:rPr>
        <w:t>2000</w:t>
      </w:r>
      <w:r>
        <w:rPr>
          <w:color w:val="0000FF"/>
        </w:rPr>
        <w:t>.</w:t>
      </w:r>
    </w:p>
    <w:p w:rsidR="00582946" w:rsidRDefault="00582946" w:rsidP="00582946">
      <w:pPr>
        <w:pStyle w:val="NormalWeb"/>
        <w:spacing w:before="120" w:beforeAutospacing="0" w:after="120" w:afterAutospacing="0" w:line="360" w:lineRule="auto"/>
        <w:ind w:firstLine="709"/>
        <w:jc w:val="both"/>
      </w:pPr>
      <w:r w:rsidRPr="00A3247F">
        <w:rPr>
          <w:color w:val="0000FF"/>
        </w:rPr>
        <w:t xml:space="preserve">La </w:t>
      </w:r>
      <w:r>
        <w:rPr>
          <w:color w:val="0000FF"/>
        </w:rPr>
        <w:t>f</w:t>
      </w:r>
      <w:r w:rsidRPr="00A3247F">
        <w:rPr>
          <w:color w:val="0000FF"/>
        </w:rPr>
        <w:t xml:space="preserve">igure </w:t>
      </w:r>
      <w:r>
        <w:rPr>
          <w:color w:val="0000FF"/>
        </w:rPr>
        <w:t>1</w:t>
      </w:r>
      <w:r w:rsidRPr="00A3247F">
        <w:t>,</w:t>
      </w:r>
      <w:r w:rsidRPr="003015C7">
        <w:t xml:space="preserve"> présente les mécanismes d’action majeurs associés aux bactéries probiotiques pour prévenir la colonisation et la croissance des bactéries pathogènes lors d’infections entériques.</w:t>
      </w:r>
    </w:p>
    <w:p w:rsidR="00582946" w:rsidRPr="00FD0A7B" w:rsidRDefault="00582946" w:rsidP="00582946">
      <w:pPr>
        <w:pStyle w:val="Titre4"/>
        <w:spacing w:before="120" w:after="120" w:line="360" w:lineRule="auto"/>
        <w:ind w:firstLine="708"/>
        <w:jc w:val="both"/>
        <w:rPr>
          <w:sz w:val="24"/>
          <w:szCs w:val="24"/>
        </w:rPr>
      </w:pPr>
      <w:r w:rsidRPr="00FD0A7B">
        <w:rPr>
          <w:bCs w:val="0"/>
          <w:sz w:val="24"/>
          <w:szCs w:val="24"/>
        </w:rPr>
        <w:t>I.3.1.1.</w:t>
      </w:r>
      <w:r w:rsidRPr="00A916D5">
        <w:rPr>
          <w:b w:val="0"/>
        </w:rPr>
        <w:t xml:space="preserve"> </w:t>
      </w:r>
      <w:r w:rsidRPr="00FD0A7B">
        <w:rPr>
          <w:sz w:val="24"/>
          <w:szCs w:val="24"/>
        </w:rPr>
        <w:t>Compétition spécifique et non-spécifique pour l’adhésion</w:t>
      </w:r>
    </w:p>
    <w:p w:rsidR="00582946" w:rsidRDefault="00582946" w:rsidP="00582946">
      <w:pPr>
        <w:pStyle w:val="NormalWeb"/>
        <w:spacing w:before="120" w:beforeAutospacing="0" w:after="120" w:afterAutospacing="0" w:line="360" w:lineRule="auto"/>
        <w:ind w:firstLine="709"/>
        <w:jc w:val="both"/>
      </w:pPr>
      <w:r w:rsidRPr="003015C7">
        <w:t>Les deux premiers mécanismes possibles pour l’action des probiotiques concernent leur capacité à adhérer à la muqueuse intestinale. Étant donné que la majorité des infections intestinales sont initiées par l’adhésion des pathogènes aux cellules entérocytaires de l’hôte certaines bifidobactéries et lactobacilles probiotiques</w:t>
      </w:r>
      <w:r>
        <w:t>,</w:t>
      </w:r>
      <w:r w:rsidRPr="003015C7">
        <w:t xml:space="preserve"> auraient la capacité de bloquer physiquement l’accès aux entérocytes </w:t>
      </w:r>
      <w:r w:rsidRPr="00C30C8C">
        <w:rPr>
          <w:color w:val="0000FF"/>
        </w:rPr>
        <w:t xml:space="preserve">(Servin et Coconnier, 2003 ; Servin, 2004 ; </w:t>
      </w:r>
      <w:r>
        <w:rPr>
          <w:color w:val="0000FF"/>
        </w:rPr>
        <w:t>Collado</w:t>
      </w:r>
      <w:r w:rsidRPr="00C30C8C">
        <w:rPr>
          <w:color w:val="0000FF"/>
        </w:rPr>
        <w:t xml:space="preserve"> </w:t>
      </w:r>
      <w:r w:rsidRPr="00C30C8C">
        <w:rPr>
          <w:i/>
          <w:iCs/>
          <w:color w:val="0000FF"/>
        </w:rPr>
        <w:t>et al</w:t>
      </w:r>
      <w:r w:rsidRPr="00C30C8C">
        <w:rPr>
          <w:color w:val="0000FF"/>
        </w:rPr>
        <w:t>., 200</w:t>
      </w:r>
      <w:r>
        <w:rPr>
          <w:color w:val="0000FF"/>
        </w:rPr>
        <w:t>7</w:t>
      </w:r>
      <w:r w:rsidRPr="00C30C8C">
        <w:rPr>
          <w:color w:val="0000FF"/>
        </w:rPr>
        <w:t>)</w:t>
      </w:r>
      <w:r w:rsidRPr="00C30C8C">
        <w:t>.</w:t>
      </w:r>
    </w:p>
    <w:p w:rsidR="00582946" w:rsidRDefault="00582946" w:rsidP="00582946">
      <w:pPr>
        <w:pStyle w:val="NormalWeb"/>
        <w:spacing w:before="120" w:beforeAutospacing="0" w:after="120" w:afterAutospacing="0" w:line="360" w:lineRule="auto"/>
        <w:ind w:firstLine="709"/>
        <w:jc w:val="both"/>
      </w:pPr>
      <w:r w:rsidRPr="003015C7">
        <w:t xml:space="preserve">Ce mécanisme d’action serait similaire à celui exercé par le microbiote intestinal résident face aux infections microbiennes </w:t>
      </w:r>
      <w:r w:rsidRPr="00C30C8C">
        <w:rPr>
          <w:color w:val="0000FF"/>
        </w:rPr>
        <w:t>(Liévin-Le Moal et Servin, 2006)</w:t>
      </w:r>
      <w:r w:rsidRPr="00C30C8C">
        <w:t>.</w:t>
      </w:r>
    </w:p>
    <w:p w:rsidR="00582946" w:rsidRDefault="00582946" w:rsidP="00582946">
      <w:pPr>
        <w:pStyle w:val="NormalWeb"/>
        <w:spacing w:before="120" w:beforeAutospacing="0" w:after="120" w:afterAutospacing="0" w:line="360" w:lineRule="auto"/>
        <w:ind w:firstLine="709"/>
        <w:jc w:val="both"/>
      </w:pPr>
      <w:r w:rsidRPr="003015C7">
        <w:t xml:space="preserve"> Les mécanismes de compétition de l’adhésion se font généralement de deux façons. Ils peuvent survenir de façon spécifique par l’intermédiaire des adhésines ou de façon non spécifique en impliquant des interactions électrostatiques ou hydrophobes, des forces passives et stériques </w:t>
      </w:r>
      <w:r w:rsidRPr="00C30C8C">
        <w:rPr>
          <w:color w:val="0000FF"/>
        </w:rPr>
        <w:t>(Servin et Coconnier, 2003)</w:t>
      </w:r>
      <w:r w:rsidRPr="003015C7">
        <w:t xml:space="preserve">. Deux exemples de ces modes de compétition sont présentés à la </w:t>
      </w:r>
      <w:r>
        <w:rPr>
          <w:color w:val="0000FF"/>
        </w:rPr>
        <w:t>f</w:t>
      </w:r>
      <w:r w:rsidRPr="00A3247F">
        <w:rPr>
          <w:color w:val="0000FF"/>
        </w:rPr>
        <w:t xml:space="preserve">igure </w:t>
      </w:r>
      <w:r>
        <w:rPr>
          <w:color w:val="0000FF"/>
        </w:rPr>
        <w:t>2</w:t>
      </w:r>
      <w:r>
        <w:t>.</w:t>
      </w:r>
    </w:p>
    <w:p w:rsidR="00582946" w:rsidRDefault="00582946" w:rsidP="00582946">
      <w:pPr>
        <w:pStyle w:val="NormalWeb"/>
        <w:spacing w:before="120" w:beforeAutospacing="0" w:after="120" w:afterAutospacing="0" w:line="360" w:lineRule="auto"/>
        <w:ind w:firstLine="709"/>
        <w:jc w:val="both"/>
      </w:pPr>
      <w:r w:rsidRPr="003015C7">
        <w:t xml:space="preserve">Les études </w:t>
      </w:r>
      <w:r w:rsidRPr="003015C7">
        <w:rPr>
          <w:rStyle w:val="Accentuation"/>
        </w:rPr>
        <w:t>in vitro</w:t>
      </w:r>
      <w:r w:rsidRPr="003015C7">
        <w:t xml:space="preserve"> identifiant le mécanisme de compétition de l’adhésion utilisent pour la plupart les lignées cellulaires intestinales Caco-2 et HT-29. Ces cellules sont généralement appropriées à ce type d’expérience car elles présentent une structure similaire aux entérocytes que l’on retrouve </w:t>
      </w:r>
      <w:r w:rsidRPr="003015C7">
        <w:rPr>
          <w:rStyle w:val="Accentuation"/>
        </w:rPr>
        <w:t>in vivo</w:t>
      </w:r>
      <w:r>
        <w:rPr>
          <w:rStyle w:val="Accentuation"/>
          <w:i w:val="0"/>
          <w:iCs w:val="0"/>
        </w:rPr>
        <w:t xml:space="preserve"> </w:t>
      </w:r>
      <w:r w:rsidRPr="00724A93">
        <w:rPr>
          <w:color w:val="0000FF"/>
        </w:rPr>
        <w:t>(</w:t>
      </w:r>
      <w:r w:rsidRPr="00C30C8C">
        <w:rPr>
          <w:color w:val="0000FF"/>
        </w:rPr>
        <w:t xml:space="preserve">Bernet </w:t>
      </w:r>
      <w:r w:rsidRPr="00C30C8C">
        <w:rPr>
          <w:i/>
          <w:iCs/>
          <w:color w:val="0000FF"/>
        </w:rPr>
        <w:t>et al</w:t>
      </w:r>
      <w:r w:rsidRPr="00C30C8C">
        <w:rPr>
          <w:color w:val="0000FF"/>
        </w:rPr>
        <w:t>.</w:t>
      </w:r>
      <w:r>
        <w:rPr>
          <w:color w:val="0000FF"/>
        </w:rPr>
        <w:t>,</w:t>
      </w:r>
      <w:r w:rsidRPr="00C30C8C">
        <w:rPr>
          <w:color w:val="0000FF"/>
        </w:rPr>
        <w:t xml:space="preserve"> 1993)</w:t>
      </w:r>
      <w:r w:rsidRPr="003015C7">
        <w:t xml:space="preserve"> </w:t>
      </w:r>
    </w:p>
    <w:p w:rsidR="00582946" w:rsidRDefault="00582946" w:rsidP="00582946">
      <w:pPr>
        <w:pStyle w:val="NormalWeb"/>
        <w:spacing w:before="120" w:beforeAutospacing="0" w:after="120" w:afterAutospacing="0" w:line="360" w:lineRule="auto"/>
        <w:ind w:firstLine="709"/>
        <w:jc w:val="both"/>
      </w:pPr>
      <w:r w:rsidRPr="003015C7">
        <w:t xml:space="preserve">Des études pionnières effectuées par </w:t>
      </w:r>
      <w:r w:rsidRPr="00C30C8C">
        <w:rPr>
          <w:color w:val="0000FF"/>
        </w:rPr>
        <w:t xml:space="preserve">Bernet </w:t>
      </w:r>
      <w:r w:rsidRPr="00C30C8C">
        <w:rPr>
          <w:i/>
          <w:iCs/>
          <w:color w:val="0000FF"/>
        </w:rPr>
        <w:t>et al</w:t>
      </w:r>
      <w:r w:rsidRPr="00C30C8C">
        <w:rPr>
          <w:color w:val="0000FF"/>
        </w:rPr>
        <w:t>. (1993)</w:t>
      </w:r>
      <w:r w:rsidRPr="003015C7">
        <w:t xml:space="preserve"> ont démontré que des souches de bifidobactéries humaines adhérant fortement aux cellules intestinales Caco-2 inhibent</w:t>
      </w:r>
      <w:r>
        <w:t xml:space="preserve"> </w:t>
      </w:r>
      <w:r w:rsidRPr="003015C7">
        <w:t xml:space="preserve">l’adhésion de micro-organismes pathogènes comme </w:t>
      </w:r>
      <w:r w:rsidRPr="003015C7">
        <w:rPr>
          <w:rStyle w:val="Accentuation"/>
        </w:rPr>
        <w:t>E. coli</w:t>
      </w:r>
      <w:r w:rsidRPr="003015C7">
        <w:t xml:space="preserve"> entéropathogénique </w:t>
      </w:r>
    </w:p>
    <w:p w:rsidR="00582946" w:rsidRDefault="00582946" w:rsidP="00582946">
      <w:pPr>
        <w:pStyle w:val="NormalWeb"/>
        <w:spacing w:before="120" w:beforeAutospacing="0" w:after="120" w:afterAutospacing="0" w:line="360" w:lineRule="auto"/>
        <w:ind w:firstLine="709"/>
        <w:jc w:val="both"/>
      </w:pPr>
    </w:p>
    <w:p w:rsidR="00582946" w:rsidRDefault="00582946" w:rsidP="00582946">
      <w:pPr>
        <w:pStyle w:val="NormalWeb"/>
        <w:spacing w:before="120" w:beforeAutospacing="0" w:after="120" w:afterAutospacing="0" w:line="360" w:lineRule="auto"/>
        <w:ind w:firstLine="709"/>
        <w:jc w:val="both"/>
      </w:pPr>
    </w:p>
    <w:p w:rsidR="00582946" w:rsidRPr="003015C7" w:rsidRDefault="00582946" w:rsidP="00582946">
      <w:pPr>
        <w:spacing w:before="120" w:after="120" w:line="240" w:lineRule="atLeast"/>
        <w:jc w:val="both"/>
      </w:pPr>
      <w:r>
        <w:rPr>
          <w:noProof/>
        </w:rPr>
        <w:drawing>
          <wp:inline distT="0" distB="0" distL="0" distR="0">
            <wp:extent cx="4905375" cy="3143250"/>
            <wp:effectExtent l="19050" t="0" r="9525" b="0"/>
            <wp:docPr id="8" name="Image 14" descr="Figure 1.4 : Mécanismes d’action proposés des micro-organismes probiotiques dans le traitement des infections entériques. Adapté de Calder et Kew (2002); Kaur et al.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igure 1.4 : Mécanismes d’action proposés des micro-organismes probiotiques dans le traitement des infections entériques. Adapté de Calder et Kew (2002); Kaur et al. (2002)."/>
                    <pic:cNvPicPr>
                      <a:picLocks noChangeAspect="1" noChangeArrowheads="1"/>
                    </pic:cNvPicPr>
                  </pic:nvPicPr>
                  <pic:blipFill>
                    <a:blip r:embed="rId8"/>
                    <a:srcRect/>
                    <a:stretch>
                      <a:fillRect/>
                    </a:stretch>
                  </pic:blipFill>
                  <pic:spPr bwMode="auto">
                    <a:xfrm>
                      <a:off x="0" y="0"/>
                      <a:ext cx="4905375" cy="3143250"/>
                    </a:xfrm>
                    <a:prstGeom prst="rect">
                      <a:avLst/>
                    </a:prstGeom>
                    <a:noFill/>
                    <a:ln w="9525">
                      <a:noFill/>
                      <a:miter lim="800000"/>
                      <a:headEnd/>
                      <a:tailEnd/>
                    </a:ln>
                  </pic:spPr>
                </pic:pic>
              </a:graphicData>
            </a:graphic>
          </wp:inline>
        </w:drawing>
      </w:r>
    </w:p>
    <w:p w:rsidR="00582946" w:rsidRDefault="00582946" w:rsidP="00582946">
      <w:pPr>
        <w:pStyle w:val="title"/>
        <w:tabs>
          <w:tab w:val="left" w:pos="7380"/>
        </w:tabs>
        <w:spacing w:before="120" w:beforeAutospacing="0" w:after="120" w:afterAutospacing="0" w:line="320" w:lineRule="atLeast"/>
        <w:ind w:right="0"/>
        <w:jc w:val="both"/>
        <w:rPr>
          <w:rFonts w:ascii="Times New Roman" w:hAnsi="Times New Roman" w:cs="Times New Roman"/>
          <w:b/>
          <w:bCs/>
          <w:sz w:val="24"/>
          <w:szCs w:val="24"/>
          <w:u w:val="single"/>
        </w:rPr>
      </w:pPr>
    </w:p>
    <w:p w:rsidR="00582946" w:rsidRDefault="00582946" w:rsidP="00582946">
      <w:pPr>
        <w:pStyle w:val="title"/>
        <w:tabs>
          <w:tab w:val="left" w:pos="7380"/>
        </w:tabs>
        <w:spacing w:before="120" w:beforeAutospacing="0" w:after="120" w:afterAutospacing="0" w:line="320" w:lineRule="atLeast"/>
        <w:ind w:right="0"/>
        <w:jc w:val="both"/>
        <w:rPr>
          <w:rFonts w:ascii="Times New Roman" w:hAnsi="Times New Roman" w:cs="Times New Roman"/>
          <w:b/>
          <w:bCs/>
          <w:sz w:val="24"/>
          <w:szCs w:val="24"/>
          <w:u w:val="single"/>
        </w:rPr>
      </w:pPr>
    </w:p>
    <w:p w:rsidR="00582946" w:rsidRPr="003015C7" w:rsidRDefault="00582946" w:rsidP="00582946">
      <w:pPr>
        <w:pStyle w:val="title"/>
        <w:tabs>
          <w:tab w:val="left" w:pos="7380"/>
        </w:tabs>
        <w:spacing w:before="120" w:beforeAutospacing="0" w:after="120" w:afterAutospacing="0" w:line="320" w:lineRule="atLeast"/>
        <w:ind w:left="1134" w:right="0" w:hanging="1134"/>
        <w:jc w:val="both"/>
        <w:rPr>
          <w:rFonts w:ascii="Times New Roman" w:hAnsi="Times New Roman" w:cs="Times New Roman"/>
          <w:sz w:val="24"/>
          <w:szCs w:val="24"/>
        </w:rPr>
      </w:pPr>
      <w:r w:rsidRPr="00E42AEE">
        <w:rPr>
          <w:rFonts w:ascii="Times New Roman" w:hAnsi="Times New Roman" w:cs="Times New Roman"/>
          <w:b/>
          <w:bCs/>
          <w:sz w:val="24"/>
          <w:szCs w:val="24"/>
          <w:u w:val="single"/>
        </w:rPr>
        <w:t>Figure</w:t>
      </w:r>
      <w:r>
        <w:rPr>
          <w:rFonts w:ascii="Times New Roman" w:hAnsi="Times New Roman" w:cs="Times New Roman"/>
          <w:b/>
          <w:bCs/>
          <w:sz w:val="24"/>
          <w:szCs w:val="24"/>
          <w:u w:val="single"/>
        </w:rPr>
        <w:t xml:space="preserve"> 1</w:t>
      </w:r>
      <w:r w:rsidRPr="003015C7">
        <w:rPr>
          <w:rFonts w:ascii="Times New Roman" w:hAnsi="Times New Roman" w:cs="Times New Roman"/>
          <w:b/>
          <w:bCs/>
          <w:sz w:val="24"/>
          <w:szCs w:val="24"/>
        </w:rPr>
        <w:t xml:space="preserve"> : </w:t>
      </w:r>
      <w:r w:rsidRPr="00E42AEE">
        <w:rPr>
          <w:rFonts w:ascii="Times New Roman" w:hAnsi="Times New Roman" w:cs="Times New Roman"/>
          <w:sz w:val="24"/>
          <w:szCs w:val="24"/>
        </w:rPr>
        <w:t xml:space="preserve">Mécanismes d’action proposés des micro-organismes probiotiques dans le traitement des infections entériques. </w:t>
      </w:r>
    </w:p>
    <w:p w:rsidR="00582946" w:rsidRDefault="00582946" w:rsidP="00582946">
      <w:pPr>
        <w:pStyle w:val="Titre4"/>
        <w:spacing w:before="120" w:after="120"/>
        <w:ind w:hanging="993"/>
        <w:jc w:val="both"/>
        <w:rPr>
          <w:color w:val="FF0000"/>
          <w:sz w:val="24"/>
          <w:szCs w:val="24"/>
        </w:rPr>
      </w:pPr>
    </w:p>
    <w:p w:rsidR="00582946" w:rsidRPr="003015C7" w:rsidRDefault="00582946" w:rsidP="00582946">
      <w:pPr>
        <w:pStyle w:val="NormalWeb"/>
        <w:spacing w:before="120" w:beforeAutospacing="0" w:after="120" w:afterAutospacing="0" w:line="360" w:lineRule="auto"/>
        <w:ind w:firstLine="709"/>
        <w:jc w:val="both"/>
      </w:pPr>
    </w:p>
    <w:p w:rsidR="00582946" w:rsidRPr="003015C7" w:rsidRDefault="00582946" w:rsidP="00582946">
      <w:pPr>
        <w:spacing w:line="240" w:lineRule="atLeast"/>
        <w:jc w:val="both"/>
      </w:pPr>
      <w:r>
        <w:rPr>
          <w:noProof/>
        </w:rPr>
        <w:drawing>
          <wp:inline distT="0" distB="0" distL="0" distR="0">
            <wp:extent cx="3857625" cy="2352675"/>
            <wp:effectExtent l="19050" t="0" r="9525" b="0"/>
            <wp:docPr id="10" name="Image 15" descr="Figure 1.5 : Mécanisme d’inhibition de l’adhésion des pathogènes par un effet barrière dû à l’adhésion spécifique (a) et non spécifique (b) des probiotiq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gure 1.5 : Mécanisme d’inhibition de l’adhésion des pathogènes par un effet barrière dû à l’adhésion spécifique (a) et non spécifique (b) des probiotiques."/>
                    <pic:cNvPicPr>
                      <a:picLocks noChangeAspect="1" noChangeArrowheads="1"/>
                    </pic:cNvPicPr>
                  </pic:nvPicPr>
                  <pic:blipFill>
                    <a:blip r:embed="rId9"/>
                    <a:srcRect/>
                    <a:stretch>
                      <a:fillRect/>
                    </a:stretch>
                  </pic:blipFill>
                  <pic:spPr bwMode="auto">
                    <a:xfrm>
                      <a:off x="0" y="0"/>
                      <a:ext cx="3857625" cy="2352675"/>
                    </a:xfrm>
                    <a:prstGeom prst="rect">
                      <a:avLst/>
                    </a:prstGeom>
                    <a:noFill/>
                    <a:ln w="9525">
                      <a:noFill/>
                      <a:miter lim="800000"/>
                      <a:headEnd/>
                      <a:tailEnd/>
                    </a:ln>
                  </pic:spPr>
                </pic:pic>
              </a:graphicData>
            </a:graphic>
          </wp:inline>
        </w:drawing>
      </w:r>
    </w:p>
    <w:p w:rsidR="00582946" w:rsidRDefault="00582946" w:rsidP="00582946">
      <w:pPr>
        <w:pStyle w:val="title"/>
        <w:spacing w:before="0" w:beforeAutospacing="0" w:after="0" w:afterAutospacing="0" w:line="320" w:lineRule="atLeast"/>
        <w:ind w:left="993" w:right="72" w:hanging="993"/>
        <w:jc w:val="both"/>
        <w:rPr>
          <w:rFonts w:ascii="Times New Roman" w:hAnsi="Times New Roman" w:cs="Times New Roman"/>
          <w:b/>
          <w:bCs/>
          <w:sz w:val="24"/>
          <w:szCs w:val="24"/>
          <w:u w:val="single"/>
        </w:rPr>
      </w:pPr>
    </w:p>
    <w:p w:rsidR="00582946" w:rsidRDefault="00582946" w:rsidP="00582946">
      <w:pPr>
        <w:pStyle w:val="title"/>
        <w:spacing w:before="120" w:beforeAutospacing="0" w:after="120" w:afterAutospacing="0" w:line="320" w:lineRule="atLeast"/>
        <w:ind w:right="0" w:hanging="993"/>
        <w:jc w:val="both"/>
        <w:rPr>
          <w:rFonts w:ascii="Times New Roman" w:hAnsi="Times New Roman" w:cs="Times New Roman"/>
          <w:b/>
          <w:bCs/>
          <w:sz w:val="24"/>
          <w:szCs w:val="24"/>
          <w:u w:val="single"/>
        </w:rPr>
      </w:pPr>
    </w:p>
    <w:p w:rsidR="00582946" w:rsidRPr="003015C7" w:rsidRDefault="00582946" w:rsidP="00582946">
      <w:pPr>
        <w:pStyle w:val="title"/>
        <w:spacing w:before="120" w:beforeAutospacing="0" w:after="120" w:afterAutospacing="0" w:line="320" w:lineRule="atLeast"/>
        <w:ind w:left="1134" w:right="0" w:hanging="1134"/>
        <w:jc w:val="both"/>
        <w:rPr>
          <w:rFonts w:ascii="Times New Roman" w:hAnsi="Times New Roman" w:cs="Times New Roman"/>
          <w:sz w:val="24"/>
          <w:szCs w:val="24"/>
        </w:rPr>
      </w:pPr>
      <w:r w:rsidRPr="00E42AEE">
        <w:rPr>
          <w:rFonts w:ascii="Times New Roman" w:hAnsi="Times New Roman" w:cs="Times New Roman"/>
          <w:b/>
          <w:bCs/>
          <w:sz w:val="24"/>
          <w:szCs w:val="24"/>
          <w:u w:val="single"/>
        </w:rPr>
        <w:t xml:space="preserve">Figure </w:t>
      </w:r>
      <w:r>
        <w:rPr>
          <w:rFonts w:ascii="Times New Roman" w:hAnsi="Times New Roman" w:cs="Times New Roman"/>
          <w:b/>
          <w:bCs/>
          <w:sz w:val="24"/>
          <w:szCs w:val="24"/>
          <w:u w:val="single"/>
        </w:rPr>
        <w:t>2</w:t>
      </w:r>
      <w:r w:rsidRPr="003015C7">
        <w:rPr>
          <w:rFonts w:ascii="Times New Roman" w:hAnsi="Times New Roman" w:cs="Times New Roman"/>
          <w:b/>
          <w:bCs/>
          <w:sz w:val="24"/>
          <w:szCs w:val="24"/>
        </w:rPr>
        <w:t xml:space="preserve">: </w:t>
      </w:r>
      <w:r w:rsidRPr="00E42AEE">
        <w:rPr>
          <w:rFonts w:ascii="Times New Roman" w:hAnsi="Times New Roman" w:cs="Times New Roman"/>
          <w:sz w:val="24"/>
          <w:szCs w:val="24"/>
        </w:rPr>
        <w:t>Mécanisme d’inhibition de l’adhésion des pathogènes par un effet barrière dû à l’adhésion spécifique (a) et non spécifique (b) des probiotiques.</w:t>
      </w:r>
    </w:p>
    <w:p w:rsidR="00582946" w:rsidRDefault="00582946" w:rsidP="00582946">
      <w:pPr>
        <w:pStyle w:val="NormalWeb"/>
        <w:spacing w:before="120" w:beforeAutospacing="0" w:after="120" w:afterAutospacing="0" w:line="360" w:lineRule="auto"/>
        <w:jc w:val="both"/>
      </w:pPr>
      <w:r w:rsidRPr="003015C7">
        <w:lastRenderedPageBreak/>
        <w:t xml:space="preserve">(EPEC) et </w:t>
      </w:r>
      <w:r w:rsidRPr="003015C7">
        <w:rPr>
          <w:rStyle w:val="Accentuation"/>
        </w:rPr>
        <w:t>Salmonella typhimurium</w:t>
      </w:r>
      <w:r w:rsidRPr="003015C7">
        <w:t xml:space="preserve"> à ces mêmes cellules lorsque placées en compétition. </w:t>
      </w:r>
    </w:p>
    <w:p w:rsidR="00582946" w:rsidRPr="003015C7" w:rsidRDefault="00582946" w:rsidP="00582946">
      <w:pPr>
        <w:pStyle w:val="NormalWeb"/>
        <w:spacing w:before="120" w:beforeAutospacing="0" w:after="120" w:afterAutospacing="0" w:line="360" w:lineRule="auto"/>
        <w:ind w:firstLine="709"/>
        <w:jc w:val="both"/>
      </w:pPr>
      <w:r w:rsidRPr="003015C7">
        <w:t>Ces auteurs ont également observé une inhibition proportionnelle à la concentration de bifidobactéries ajoutées. Ils ont suggéré que l’inhibition pouvait être due à un encombrement stérique par la constitution d’un biofilm qui empêche l’accès des pathogènes aux surfaces cellulaires et par une exclusion des cellules pathogènes par compétition aux sites spécifiques d’adhésion sur les cellules entérocytaires.</w:t>
      </w:r>
    </w:p>
    <w:p w:rsidR="00582946" w:rsidRPr="003015C7" w:rsidRDefault="00582946" w:rsidP="00582946">
      <w:pPr>
        <w:pStyle w:val="NormalWeb"/>
        <w:spacing w:before="120" w:beforeAutospacing="0" w:after="120" w:afterAutospacing="0" w:line="360" w:lineRule="auto"/>
        <w:ind w:firstLine="708"/>
        <w:jc w:val="both"/>
      </w:pPr>
      <w:r w:rsidRPr="003015C7">
        <w:t xml:space="preserve"> D’autres études de compétition sur des cellules Caco-2 ont démontré que la souche </w:t>
      </w:r>
      <w:r w:rsidRPr="003015C7">
        <w:rPr>
          <w:rStyle w:val="Accentuation"/>
        </w:rPr>
        <w:t>L. acidophilus</w:t>
      </w:r>
      <w:r w:rsidRPr="003015C7">
        <w:t xml:space="preserve"> est également capable d’inhiber l’adhésion de ces deux mêmes pathogènes </w:t>
      </w:r>
      <w:r w:rsidRPr="00C30C8C">
        <w:rPr>
          <w:color w:val="0000FF"/>
        </w:rPr>
        <w:t xml:space="preserve">(Coconnier </w:t>
      </w:r>
      <w:r w:rsidRPr="00C30C8C">
        <w:rPr>
          <w:i/>
          <w:iCs/>
          <w:color w:val="0000FF"/>
        </w:rPr>
        <w:t>et al</w:t>
      </w:r>
      <w:r w:rsidRPr="00C30C8C">
        <w:rPr>
          <w:color w:val="0000FF"/>
        </w:rPr>
        <w:t>., 1993</w:t>
      </w:r>
      <w:r>
        <w:rPr>
          <w:color w:val="0000FF"/>
        </w:rPr>
        <w:t xml:space="preserve"> </w:t>
      </w:r>
      <w:r w:rsidRPr="00C30C8C">
        <w:rPr>
          <w:color w:val="0000FF"/>
        </w:rPr>
        <w:t xml:space="preserve">; Bernet </w:t>
      </w:r>
      <w:r w:rsidRPr="00C30C8C">
        <w:rPr>
          <w:i/>
          <w:iCs/>
          <w:color w:val="0000FF"/>
        </w:rPr>
        <w:t>et al</w:t>
      </w:r>
      <w:r w:rsidRPr="00C30C8C">
        <w:rPr>
          <w:color w:val="0000FF"/>
        </w:rPr>
        <w:t>., 1994)</w:t>
      </w:r>
      <w:r w:rsidRPr="00C30C8C">
        <w:t xml:space="preserve">. </w:t>
      </w:r>
      <w:r w:rsidRPr="003015C7">
        <w:t>Des mécanismes d’action similaires à ceux associés aux bifidobactéries ont été suggérés par ces derniers auteurs.</w:t>
      </w:r>
    </w:p>
    <w:p w:rsidR="00582946" w:rsidRPr="003015C7" w:rsidRDefault="00582946" w:rsidP="00582946">
      <w:pPr>
        <w:pStyle w:val="NormalWeb"/>
        <w:spacing w:before="120" w:beforeAutospacing="0" w:after="120" w:afterAutospacing="0" w:line="360" w:lineRule="auto"/>
        <w:ind w:firstLine="708"/>
        <w:jc w:val="both"/>
      </w:pPr>
      <w:r w:rsidRPr="00C30C8C">
        <w:rPr>
          <w:color w:val="0000FF"/>
        </w:rPr>
        <w:t xml:space="preserve">Mack </w:t>
      </w:r>
      <w:r w:rsidRPr="00C30C8C">
        <w:rPr>
          <w:i/>
          <w:iCs/>
          <w:color w:val="0000FF"/>
        </w:rPr>
        <w:t>et al</w:t>
      </w:r>
      <w:r w:rsidRPr="00C30C8C">
        <w:rPr>
          <w:color w:val="0000FF"/>
        </w:rPr>
        <w:t>. (1999)</w:t>
      </w:r>
      <w:r w:rsidRPr="003015C7">
        <w:t xml:space="preserve"> ont rapporté une inhibition complète de l’adhésion d’</w:t>
      </w:r>
      <w:r w:rsidRPr="003015C7">
        <w:rPr>
          <w:rStyle w:val="Accentuation"/>
        </w:rPr>
        <w:t>E. coli</w:t>
      </w:r>
      <w:r w:rsidRPr="003015C7">
        <w:t xml:space="preserve"> O157:H7 par l’ajout préalable de la souche </w:t>
      </w:r>
      <w:r w:rsidRPr="003015C7">
        <w:rPr>
          <w:rStyle w:val="Accentuation"/>
        </w:rPr>
        <w:t>L. plantarum</w:t>
      </w:r>
      <w:r w:rsidRPr="003015C7">
        <w:t xml:space="preserve">299vsur des cellules HT-29. En effet, ces auteurs ont montré qu’en utilisant des concentrations croissantes de la souche </w:t>
      </w:r>
      <w:r>
        <w:t xml:space="preserve">                 </w:t>
      </w:r>
      <w:r w:rsidRPr="003015C7">
        <w:rPr>
          <w:rStyle w:val="Accentuation"/>
        </w:rPr>
        <w:t xml:space="preserve">L. plantarum </w:t>
      </w:r>
      <w:r w:rsidRPr="003015C7">
        <w:t>(10</w:t>
      </w:r>
      <w:r w:rsidRPr="003015C7">
        <w:rPr>
          <w:vertAlign w:val="superscript"/>
        </w:rPr>
        <w:t xml:space="preserve">7 </w:t>
      </w:r>
      <w:r w:rsidRPr="003015C7">
        <w:t>à 10</w:t>
      </w:r>
      <w:r w:rsidRPr="003015C7">
        <w:rPr>
          <w:vertAlign w:val="superscript"/>
        </w:rPr>
        <w:t xml:space="preserve">9 </w:t>
      </w:r>
      <w:r w:rsidRPr="003015C7">
        <w:t>cfu/puits) une inhibition complète de l’adhésion du pathogène (10</w:t>
      </w:r>
      <w:r w:rsidRPr="003015C7">
        <w:rPr>
          <w:vertAlign w:val="superscript"/>
        </w:rPr>
        <w:t xml:space="preserve">5 </w:t>
      </w:r>
      <w:r w:rsidRPr="003015C7">
        <w:t>cfu/puits) a pu être obtenu en utilisant la plus forte concentration de probiotiques testée.</w:t>
      </w:r>
    </w:p>
    <w:p w:rsidR="00582946" w:rsidRPr="003015C7" w:rsidRDefault="00582946" w:rsidP="00582946">
      <w:pPr>
        <w:pStyle w:val="NormalWeb"/>
        <w:spacing w:before="120" w:beforeAutospacing="0" w:after="120" w:afterAutospacing="0" w:line="360" w:lineRule="auto"/>
        <w:ind w:firstLine="708"/>
        <w:jc w:val="both"/>
      </w:pPr>
      <w:r w:rsidRPr="003015C7">
        <w:t xml:space="preserve"> Ces auteurs ont proposé, entre autres, que l’adhésion préalable des probiotiques aux cellules intestinales contribuerait à limiter l’accès des pathogènes aux entérocytes en plus d’augmenter la sécrétion du mucus qui pourrait lui aussi empêcher l’adhésion des pathogènes aux cellules intestinales.</w:t>
      </w:r>
    </w:p>
    <w:p w:rsidR="00582946" w:rsidRDefault="00582946" w:rsidP="00582946">
      <w:pPr>
        <w:pStyle w:val="NormalWeb"/>
        <w:spacing w:before="120" w:beforeAutospacing="0" w:after="120" w:afterAutospacing="0" w:line="360" w:lineRule="auto"/>
        <w:ind w:firstLine="708"/>
        <w:jc w:val="both"/>
      </w:pPr>
      <w:r w:rsidRPr="003015C7">
        <w:t>Par ailleurs, une compétition pour des sites spécifiques de fixation sur le mucus intestinal a également été évoquée comme un autre mode d’action</w:t>
      </w:r>
      <w:r>
        <w:t xml:space="preserve"> </w:t>
      </w:r>
      <w:r w:rsidRPr="003015C7">
        <w:t xml:space="preserve">probable. Le mucus présent sur la surface de l’épithélium intestinal forme une sorte de gel composé de glycoprotéines, appelées aussi mucines. </w:t>
      </w:r>
    </w:p>
    <w:p w:rsidR="00582946" w:rsidRDefault="00582946" w:rsidP="00582946">
      <w:pPr>
        <w:pStyle w:val="NormalWeb"/>
        <w:spacing w:before="120" w:beforeAutospacing="0" w:after="120" w:afterAutospacing="0" w:line="360" w:lineRule="auto"/>
        <w:ind w:firstLine="708"/>
        <w:jc w:val="both"/>
      </w:pPr>
      <w:r w:rsidRPr="003015C7">
        <w:t xml:space="preserve">La sécrétion de mucines par les cellules en gobelet peut être stimulée par des facteurs neurogènes et par des changements environnementaux incluant le microbiote résident et les infections microbiennes </w:t>
      </w:r>
      <w:r w:rsidRPr="0000777C">
        <w:rPr>
          <w:color w:val="0000FF"/>
        </w:rPr>
        <w:t>(Gill, 2003).</w:t>
      </w:r>
      <w:r w:rsidRPr="003015C7">
        <w:t xml:space="preserve"> </w:t>
      </w:r>
    </w:p>
    <w:p w:rsidR="00582946" w:rsidRPr="003015C7" w:rsidRDefault="00582946" w:rsidP="00582946">
      <w:pPr>
        <w:pStyle w:val="NormalWeb"/>
        <w:spacing w:before="120" w:beforeAutospacing="0" w:after="120" w:afterAutospacing="0" w:line="360" w:lineRule="auto"/>
        <w:ind w:firstLine="708"/>
        <w:jc w:val="both"/>
      </w:pPr>
      <w:r w:rsidRPr="003015C7">
        <w:t xml:space="preserve">En plus de protéger l’épithélium d’un contact direct avec le contenu intestinal, le mucus intestinal est un site important pour la colonisation du microbiote normal mais il peut également servir de site d’adhésion pour certains micro-organismes pathogènes </w:t>
      </w:r>
      <w:r w:rsidRPr="00C30C8C">
        <w:rPr>
          <w:color w:val="0000FF"/>
        </w:rPr>
        <w:t>(Gill, 2003)</w:t>
      </w:r>
      <w:r w:rsidRPr="00C30C8C">
        <w:t>.</w:t>
      </w:r>
    </w:p>
    <w:p w:rsidR="00582946" w:rsidRDefault="00582946" w:rsidP="00582946">
      <w:pPr>
        <w:pStyle w:val="NormalWeb"/>
        <w:spacing w:before="120" w:beforeAutospacing="0" w:after="120" w:afterAutospacing="0" w:line="360" w:lineRule="auto"/>
        <w:ind w:firstLine="708"/>
        <w:jc w:val="both"/>
        <w:rPr>
          <w:color w:val="FF0000"/>
        </w:rPr>
      </w:pPr>
      <w:r w:rsidRPr="003015C7">
        <w:lastRenderedPageBreak/>
        <w:t xml:space="preserve">Lors d’expériences </w:t>
      </w:r>
      <w:r w:rsidRPr="003015C7">
        <w:rPr>
          <w:rStyle w:val="Accentuation"/>
        </w:rPr>
        <w:t>in vitro</w:t>
      </w:r>
      <w:r w:rsidRPr="003015C7">
        <w:t xml:space="preserve">, des souches probiotiques telles que </w:t>
      </w:r>
      <w:r w:rsidRPr="003015C7">
        <w:rPr>
          <w:rStyle w:val="Accentuation"/>
        </w:rPr>
        <w:t>L. casei</w:t>
      </w:r>
      <w:r w:rsidRPr="003015C7">
        <w:t xml:space="preserve"> Shirota et </w:t>
      </w:r>
      <w:r w:rsidRPr="003015C7">
        <w:rPr>
          <w:rStyle w:val="Accentuation"/>
        </w:rPr>
        <w:t>L. rhamnosus</w:t>
      </w:r>
      <w:r w:rsidRPr="003015C7">
        <w:t xml:space="preserve"> GG ont présenté une capacité d’adhésion plus forte au mucus humain que des souches pathogènes d’</w:t>
      </w:r>
      <w:r w:rsidRPr="003015C7">
        <w:rPr>
          <w:rStyle w:val="Accentuation"/>
        </w:rPr>
        <w:t>E. coli</w:t>
      </w:r>
      <w:r w:rsidRPr="003015C7">
        <w:t xml:space="preserve"> et de Salmonelles</w:t>
      </w:r>
      <w:r w:rsidRPr="003015C7">
        <w:rPr>
          <w:color w:val="FF0000"/>
        </w:rPr>
        <w:t xml:space="preserve"> </w:t>
      </w:r>
      <w:r w:rsidRPr="00C30C8C">
        <w:rPr>
          <w:color w:val="0000FF"/>
        </w:rPr>
        <w:t xml:space="preserve">(Lee </w:t>
      </w:r>
      <w:r w:rsidRPr="00C30C8C">
        <w:rPr>
          <w:i/>
          <w:iCs/>
          <w:color w:val="0000FF"/>
        </w:rPr>
        <w:t>et al</w:t>
      </w:r>
      <w:r w:rsidRPr="00C30C8C">
        <w:rPr>
          <w:color w:val="0000FF"/>
        </w:rPr>
        <w:t>., 2003)</w:t>
      </w:r>
      <w:r w:rsidRPr="00C30C8C">
        <w:t>.</w:t>
      </w:r>
      <w:r w:rsidRPr="003015C7">
        <w:rPr>
          <w:color w:val="FF0000"/>
        </w:rPr>
        <w:t xml:space="preserve"> </w:t>
      </w:r>
      <w:r w:rsidRPr="003015C7">
        <w:t xml:space="preserve">Ces souches probiotiques étaient capables d’exclure et d’entrer en compétition avec les pathogènes de façon significative sur le mucus </w:t>
      </w:r>
      <w:r w:rsidRPr="00C30C8C">
        <w:rPr>
          <w:color w:val="0000FF"/>
        </w:rPr>
        <w:t xml:space="preserve">(Lee </w:t>
      </w:r>
      <w:r w:rsidRPr="00C30C8C">
        <w:rPr>
          <w:i/>
          <w:iCs/>
          <w:color w:val="0000FF"/>
        </w:rPr>
        <w:t>et al</w:t>
      </w:r>
      <w:r w:rsidRPr="00C30C8C">
        <w:rPr>
          <w:color w:val="0000FF"/>
        </w:rPr>
        <w:t>., 2003)</w:t>
      </w:r>
      <w:r w:rsidRPr="00C30C8C">
        <w:t>.</w:t>
      </w:r>
      <w:r w:rsidRPr="003015C7">
        <w:rPr>
          <w:color w:val="FF0000"/>
        </w:rPr>
        <w:t xml:space="preserve"> </w:t>
      </w:r>
    </w:p>
    <w:p w:rsidR="00582946" w:rsidRPr="003015C7" w:rsidRDefault="00582946" w:rsidP="00582946">
      <w:pPr>
        <w:pStyle w:val="NormalWeb"/>
        <w:spacing w:before="120" w:beforeAutospacing="0" w:after="120" w:afterAutospacing="0" w:line="360" w:lineRule="auto"/>
        <w:ind w:firstLine="708"/>
        <w:jc w:val="both"/>
        <w:rPr>
          <w:color w:val="FF0000"/>
        </w:rPr>
      </w:pPr>
      <w:r w:rsidRPr="003015C7">
        <w:t xml:space="preserve">Le degré de compétition était dépendant de chaque souche et probablement déterminé par l’affinité respective des adhésines présentes sur la surface des bactéries aux glycoprotéines du mucus </w:t>
      </w:r>
      <w:r w:rsidRPr="00C30C8C">
        <w:rPr>
          <w:color w:val="0000FF"/>
        </w:rPr>
        <w:t xml:space="preserve">(Lee </w:t>
      </w:r>
      <w:r w:rsidRPr="00C30C8C">
        <w:rPr>
          <w:i/>
          <w:iCs/>
          <w:color w:val="0000FF"/>
        </w:rPr>
        <w:t>et al</w:t>
      </w:r>
      <w:r w:rsidRPr="00C30C8C">
        <w:rPr>
          <w:color w:val="0000FF"/>
        </w:rPr>
        <w:t>., 2003)</w:t>
      </w:r>
      <w:r w:rsidRPr="00C30C8C">
        <w:t>.</w:t>
      </w:r>
    </w:p>
    <w:p w:rsidR="00582946" w:rsidRDefault="00582946" w:rsidP="00582946">
      <w:pPr>
        <w:pStyle w:val="NormalWeb"/>
        <w:spacing w:before="120" w:beforeAutospacing="0" w:after="120" w:afterAutospacing="0" w:line="360" w:lineRule="auto"/>
        <w:ind w:firstLine="708"/>
        <w:jc w:val="both"/>
      </w:pPr>
      <w:r w:rsidRPr="003015C7">
        <w:t>D’autres effets similaires ont été observés avec des bifidobactéries</w:t>
      </w:r>
      <w:r>
        <w:t>,</w:t>
      </w:r>
      <w:r w:rsidRPr="003015C7">
        <w:t xml:space="preserve"> </w:t>
      </w:r>
      <w:r w:rsidRPr="00C30C8C">
        <w:rPr>
          <w:color w:val="0000FF"/>
        </w:rPr>
        <w:t xml:space="preserve">Collado </w:t>
      </w:r>
      <w:r w:rsidRPr="00C30C8C">
        <w:rPr>
          <w:i/>
          <w:iCs/>
          <w:color w:val="0000FF"/>
        </w:rPr>
        <w:t>et al</w:t>
      </w:r>
      <w:r w:rsidRPr="00C30C8C">
        <w:rPr>
          <w:color w:val="0000FF"/>
        </w:rPr>
        <w:t>. (2005)</w:t>
      </w:r>
      <w:r w:rsidRPr="003015C7">
        <w:rPr>
          <w:color w:val="FF0000"/>
        </w:rPr>
        <w:t xml:space="preserve"> </w:t>
      </w:r>
      <w:r w:rsidRPr="00E42AEE">
        <w:t>o</w:t>
      </w:r>
      <w:r w:rsidRPr="003015C7">
        <w:t xml:space="preserve">nt montré que des souches de bifidobactéries d’origine humaine entraient également en compétition pour des sites spécifiques sur le mucus intestinal et qu’un effet inhibiteur supérieur à 40% pouvait être obtenu avec </w:t>
      </w:r>
      <w:r w:rsidRPr="00B70668">
        <w:rPr>
          <w:rStyle w:val="Accentuation"/>
        </w:rPr>
        <w:t xml:space="preserve">Listeria </w:t>
      </w:r>
      <w:r w:rsidRPr="003015C7">
        <w:rPr>
          <w:rStyle w:val="Accentuation"/>
        </w:rPr>
        <w:t xml:space="preserve"> monocytogenes</w:t>
      </w:r>
      <w:r w:rsidRPr="003015C7">
        <w:t xml:space="preserve"> et </w:t>
      </w:r>
      <w:r w:rsidRPr="003015C7">
        <w:rPr>
          <w:rStyle w:val="Accentuation"/>
        </w:rPr>
        <w:t xml:space="preserve">Clostridium difficile </w:t>
      </w:r>
      <w:r w:rsidRPr="003015C7">
        <w:t>alors que les taux d’inhibition d’</w:t>
      </w:r>
      <w:r w:rsidRPr="003015C7">
        <w:rPr>
          <w:rStyle w:val="Accentuation"/>
        </w:rPr>
        <w:t>E. coli</w:t>
      </w:r>
      <w:r w:rsidRPr="003015C7">
        <w:t xml:space="preserve"> était plus modestes avec près de 20%. </w:t>
      </w:r>
    </w:p>
    <w:p w:rsidR="00582946" w:rsidRPr="003015C7" w:rsidRDefault="00582946" w:rsidP="00582946">
      <w:pPr>
        <w:pStyle w:val="NormalWeb"/>
        <w:spacing w:before="120" w:beforeAutospacing="0" w:after="120" w:afterAutospacing="0" w:line="360" w:lineRule="auto"/>
        <w:ind w:firstLine="708"/>
        <w:jc w:val="both"/>
      </w:pPr>
      <w:r w:rsidRPr="003015C7">
        <w:t>Les résultats obtenus dépendaient des souches testées et ceci pourrait s’expliquer, en partie, par les différentes molécules impliquées dans l’adhésion des bifidobactéries.</w:t>
      </w:r>
    </w:p>
    <w:p w:rsidR="00582946" w:rsidRPr="003015C7" w:rsidRDefault="00582946" w:rsidP="00582946">
      <w:pPr>
        <w:pStyle w:val="NormalWeb"/>
        <w:spacing w:before="120" w:beforeAutospacing="0" w:after="120" w:afterAutospacing="0" w:line="360" w:lineRule="auto"/>
        <w:ind w:firstLine="708"/>
        <w:jc w:val="both"/>
      </w:pPr>
      <w:r w:rsidRPr="003015C7">
        <w:t xml:space="preserve">La compétition sur le mucus peut se produire même durant des épisodes de diarrhée. En effet, </w:t>
      </w:r>
      <w:r w:rsidRPr="00C30C8C">
        <w:rPr>
          <w:color w:val="0000FF"/>
        </w:rPr>
        <w:t xml:space="preserve">Juntunen </w:t>
      </w:r>
      <w:r w:rsidRPr="00C30C8C">
        <w:rPr>
          <w:i/>
          <w:iCs/>
          <w:color w:val="0000FF"/>
        </w:rPr>
        <w:t>et al</w:t>
      </w:r>
      <w:r w:rsidRPr="00C30C8C">
        <w:rPr>
          <w:color w:val="0000FF"/>
        </w:rPr>
        <w:t>. (2001)</w:t>
      </w:r>
      <w:r w:rsidRPr="003015C7">
        <w:t xml:space="preserve"> ont observé que l’adhésion des souches probiotiques </w:t>
      </w:r>
      <w:r w:rsidRPr="003015C7">
        <w:rPr>
          <w:rStyle w:val="Accentuation"/>
        </w:rPr>
        <w:t xml:space="preserve">B. lactis </w:t>
      </w:r>
      <w:r w:rsidRPr="003015C7">
        <w:t xml:space="preserve">Bb12, </w:t>
      </w:r>
      <w:r w:rsidRPr="003015C7">
        <w:rPr>
          <w:rStyle w:val="Accentuation"/>
        </w:rPr>
        <w:t>L. rhamnosus</w:t>
      </w:r>
      <w:r w:rsidRPr="003015C7">
        <w:t xml:space="preserve"> GG, </w:t>
      </w:r>
      <w:r w:rsidRPr="003015C7">
        <w:rPr>
          <w:rStyle w:val="Accentuation"/>
        </w:rPr>
        <w:t xml:space="preserve">L. casei </w:t>
      </w:r>
      <w:r w:rsidRPr="003015C7">
        <w:t xml:space="preserve">Shirota, </w:t>
      </w:r>
      <w:r w:rsidRPr="003015C7">
        <w:rPr>
          <w:rStyle w:val="Accentuation"/>
        </w:rPr>
        <w:t>L. paracasei</w:t>
      </w:r>
      <w:r w:rsidRPr="003015C7">
        <w:t xml:space="preserve"> F19, </w:t>
      </w:r>
      <w:r>
        <w:t xml:space="preserve">       </w:t>
      </w:r>
      <w:r w:rsidRPr="003015C7">
        <w:rPr>
          <w:rStyle w:val="Accentuation"/>
        </w:rPr>
        <w:t>L. acidophilus</w:t>
      </w:r>
      <w:r w:rsidRPr="003015C7">
        <w:t xml:space="preserve"> LA5 aux mucus intestinaux isolés d’enfants en santé et d’enfants ayant une diarrhée à rotavirus était similaire. Ainsi selon ces auteurs les probiotiques pourraient agir même après que l’infection soit déclenchée.</w:t>
      </w:r>
    </w:p>
    <w:p w:rsidR="00582946" w:rsidRPr="003015C7" w:rsidRDefault="00582946" w:rsidP="00582946">
      <w:pPr>
        <w:pStyle w:val="Titre4"/>
        <w:spacing w:before="120" w:after="120" w:line="360" w:lineRule="auto"/>
        <w:jc w:val="both"/>
        <w:rPr>
          <w:color w:val="FF0000"/>
          <w:sz w:val="24"/>
          <w:szCs w:val="24"/>
        </w:rPr>
      </w:pPr>
      <w:r w:rsidRPr="00FD0A7B">
        <w:rPr>
          <w:bCs w:val="0"/>
          <w:sz w:val="24"/>
          <w:szCs w:val="24"/>
        </w:rPr>
        <w:t>I.3.1.</w:t>
      </w:r>
      <w:r>
        <w:rPr>
          <w:bCs w:val="0"/>
          <w:sz w:val="24"/>
          <w:szCs w:val="24"/>
        </w:rPr>
        <w:t>2</w:t>
      </w:r>
      <w:r w:rsidRPr="00FD0A7B">
        <w:rPr>
          <w:bCs w:val="0"/>
          <w:sz w:val="24"/>
          <w:szCs w:val="24"/>
        </w:rPr>
        <w:t>.</w:t>
      </w:r>
      <w:r w:rsidRPr="00A916D5">
        <w:rPr>
          <w:b w:val="0"/>
        </w:rPr>
        <w:t xml:space="preserve"> </w:t>
      </w:r>
      <w:r w:rsidRPr="00FD0A7B">
        <w:rPr>
          <w:sz w:val="24"/>
          <w:szCs w:val="24"/>
        </w:rPr>
        <w:t>Production de substances antimicrobiennes</w:t>
      </w:r>
    </w:p>
    <w:p w:rsidR="00582946" w:rsidRDefault="00582946" w:rsidP="00582946">
      <w:pPr>
        <w:pStyle w:val="NormalWeb"/>
        <w:spacing w:before="120" w:beforeAutospacing="0" w:after="120" w:afterAutospacing="0" w:line="360" w:lineRule="auto"/>
        <w:ind w:firstLine="708"/>
        <w:jc w:val="both"/>
      </w:pPr>
      <w:r w:rsidRPr="003015C7">
        <w:t>Le troisième mécanisme d’action des probiotiques concerne l’inhibition de la croissance des pathogènes grâce à des composés antimicrobiens.</w:t>
      </w:r>
      <w:r>
        <w:t xml:space="preserve"> </w:t>
      </w:r>
      <w:r w:rsidRPr="003015C7">
        <w:t xml:space="preserve">Les bactéries appartenant aux genres </w:t>
      </w:r>
      <w:r w:rsidRPr="003015C7">
        <w:rPr>
          <w:rStyle w:val="Accentuation"/>
        </w:rPr>
        <w:t>Lactobacillus</w:t>
      </w:r>
      <w:r w:rsidRPr="003015C7">
        <w:t xml:space="preserve"> et </w:t>
      </w:r>
      <w:r w:rsidRPr="003015C7">
        <w:rPr>
          <w:rStyle w:val="Accentuation"/>
        </w:rPr>
        <w:t>Bifidobacterium</w:t>
      </w:r>
      <w:r w:rsidRPr="003015C7">
        <w:t xml:space="preserve"> d’origine humaine peuvent produire des substances antimicrobiennes, telles que les acides organiques, qui sont actives </w:t>
      </w:r>
      <w:r w:rsidRPr="003015C7">
        <w:rPr>
          <w:rStyle w:val="Accentuation"/>
        </w:rPr>
        <w:t>in vitro</w:t>
      </w:r>
      <w:r w:rsidRPr="003015C7">
        <w:t xml:space="preserve"> et </w:t>
      </w:r>
      <w:r w:rsidRPr="003015C7">
        <w:rPr>
          <w:rStyle w:val="Accentuation"/>
        </w:rPr>
        <w:t>in vivo</w:t>
      </w:r>
      <w:r w:rsidRPr="003015C7">
        <w:t xml:space="preserve"> contre les micro-organismes entérovirulents impliqués dans les cas de diarrhées </w:t>
      </w:r>
      <w:r w:rsidRPr="00C30C8C">
        <w:rPr>
          <w:color w:val="0000FF"/>
        </w:rPr>
        <w:t>(Servin, 2004)</w:t>
      </w:r>
      <w:r w:rsidRPr="002D08BA">
        <w:t xml:space="preserve">. </w:t>
      </w:r>
    </w:p>
    <w:p w:rsidR="00582946" w:rsidRDefault="00582946" w:rsidP="00582946">
      <w:pPr>
        <w:pStyle w:val="NormalWeb"/>
        <w:spacing w:before="120" w:beforeAutospacing="0" w:after="120" w:afterAutospacing="0" w:line="360" w:lineRule="auto"/>
        <w:ind w:firstLine="708"/>
        <w:jc w:val="both"/>
      </w:pPr>
      <w:r w:rsidRPr="003015C7">
        <w:lastRenderedPageBreak/>
        <w:t xml:space="preserve">L’acide lactique et acétique sont produits </w:t>
      </w:r>
      <w:r w:rsidRPr="003015C7">
        <w:rPr>
          <w:rStyle w:val="Accentuation"/>
        </w:rPr>
        <w:t xml:space="preserve">via </w:t>
      </w:r>
      <w:r w:rsidRPr="003015C7">
        <w:t xml:space="preserve">la fermentation des hexoses par les lactobacilles et bifidobactéries. Ces acides organiques peuvent diffuser passivement à travers la membrane bactérienne sous leur forme non dissociée </w:t>
      </w:r>
      <w:r w:rsidRPr="009957FC">
        <w:rPr>
          <w:color w:val="0000FF"/>
        </w:rPr>
        <w:t>(</w:t>
      </w:r>
      <w:r>
        <w:rPr>
          <w:color w:val="0000FF"/>
        </w:rPr>
        <w:t>f</w:t>
      </w:r>
      <w:r w:rsidRPr="009957FC">
        <w:rPr>
          <w:color w:val="0000FF"/>
        </w:rPr>
        <w:t xml:space="preserve">igure </w:t>
      </w:r>
      <w:r>
        <w:rPr>
          <w:color w:val="0000FF"/>
        </w:rPr>
        <w:t>3</w:t>
      </w:r>
      <w:r w:rsidRPr="009957FC">
        <w:rPr>
          <w:color w:val="0000FF"/>
        </w:rPr>
        <w:t>)</w:t>
      </w:r>
      <w:r w:rsidRPr="003015C7">
        <w:t xml:space="preserve">. </w:t>
      </w:r>
    </w:p>
    <w:p w:rsidR="00582946" w:rsidRPr="003015C7" w:rsidRDefault="00582946" w:rsidP="00582946">
      <w:pPr>
        <w:pStyle w:val="NormalWeb"/>
        <w:spacing w:before="120" w:beforeAutospacing="0" w:after="120" w:afterAutospacing="0" w:line="360" w:lineRule="auto"/>
        <w:ind w:firstLine="708"/>
        <w:jc w:val="both"/>
        <w:rPr>
          <w:color w:val="FF0000"/>
        </w:rPr>
      </w:pPr>
      <w:r w:rsidRPr="003015C7">
        <w:t xml:space="preserve">Ils acidifient le cytoplasme après dissociation et inhibent l’activité enzymatique cellulaire des pathogènes acidosensibles </w:t>
      </w:r>
      <w:r>
        <w:t>.</w:t>
      </w:r>
      <w:r w:rsidRPr="003015C7">
        <w:t xml:space="preserve">Cette diminution du pH peut donc affecter la viabilité des pathogènes bactériens </w:t>
      </w:r>
      <w:r w:rsidRPr="00C30C8C">
        <w:rPr>
          <w:color w:val="0000FF"/>
        </w:rPr>
        <w:t>(Servin, 2004)</w:t>
      </w:r>
      <w:r w:rsidRPr="00C30C8C">
        <w:t>.</w:t>
      </w:r>
    </w:p>
    <w:p w:rsidR="00582946" w:rsidRDefault="00582946" w:rsidP="00582946">
      <w:pPr>
        <w:pStyle w:val="title"/>
        <w:spacing w:before="120" w:beforeAutospacing="0" w:after="120" w:afterAutospacing="0"/>
        <w:ind w:right="0"/>
        <w:jc w:val="both"/>
        <w:rPr>
          <w:rFonts w:ascii="Times New Roman" w:hAnsi="Times New Roman" w:cs="Times New Roman"/>
          <w:sz w:val="24"/>
          <w:szCs w:val="24"/>
        </w:rPr>
      </w:pPr>
    </w:p>
    <w:p w:rsidR="00582946" w:rsidRDefault="00582946" w:rsidP="00582946">
      <w:pPr>
        <w:pStyle w:val="title"/>
        <w:spacing w:before="0" w:beforeAutospacing="0" w:after="0" w:afterAutospacing="0"/>
        <w:ind w:right="74"/>
        <w:jc w:val="both"/>
        <w:rPr>
          <w:rFonts w:ascii="Times New Roman" w:hAnsi="Times New Roman" w:cs="Times New Roman"/>
          <w:sz w:val="24"/>
          <w:szCs w:val="24"/>
        </w:rPr>
      </w:pPr>
    </w:p>
    <w:p w:rsidR="00582946" w:rsidRDefault="00582946" w:rsidP="00582946">
      <w:pPr>
        <w:pStyle w:val="title"/>
        <w:spacing w:before="120" w:beforeAutospacing="0" w:after="120" w:afterAutospacing="0"/>
        <w:ind w:right="74"/>
        <w:jc w:val="both"/>
        <w:rPr>
          <w:rFonts w:ascii="Times New Roman" w:hAnsi="Times New Roman" w:cs="Times New Roman"/>
          <w:sz w:val="24"/>
          <w:szCs w:val="24"/>
        </w:rPr>
      </w:pPr>
    </w:p>
    <w:p w:rsidR="00582946" w:rsidRDefault="00582946" w:rsidP="00582946">
      <w:pPr>
        <w:pStyle w:val="title"/>
        <w:spacing w:before="120" w:beforeAutospacing="0" w:after="120" w:afterAutospacing="0"/>
        <w:ind w:right="74"/>
        <w:jc w:val="both"/>
        <w:rPr>
          <w:rFonts w:ascii="Times New Roman" w:hAnsi="Times New Roman" w:cs="Times New Roman"/>
          <w:sz w:val="24"/>
          <w:szCs w:val="24"/>
        </w:rPr>
      </w:pPr>
    </w:p>
    <w:p w:rsidR="00582946" w:rsidRPr="003015C7" w:rsidRDefault="00582946" w:rsidP="00582946">
      <w:pPr>
        <w:pStyle w:val="title"/>
        <w:spacing w:before="120" w:beforeAutospacing="0" w:after="120" w:afterAutospacing="0"/>
        <w:ind w:right="74"/>
        <w:jc w:val="both"/>
        <w:rPr>
          <w:rFonts w:ascii="Times New Roman" w:hAnsi="Times New Roman" w:cs="Times New Roman"/>
          <w:sz w:val="24"/>
          <w:szCs w:val="24"/>
        </w:rPr>
      </w:pPr>
    </w:p>
    <w:p w:rsidR="00582946" w:rsidRPr="003015C7" w:rsidRDefault="00582946" w:rsidP="00582946">
      <w:pPr>
        <w:spacing w:before="120" w:after="120" w:line="360" w:lineRule="auto"/>
        <w:jc w:val="both"/>
      </w:pPr>
      <w:r>
        <w:rPr>
          <w:noProof/>
        </w:rPr>
        <w:drawing>
          <wp:inline distT="0" distB="0" distL="0" distR="0">
            <wp:extent cx="4114800" cy="1000125"/>
            <wp:effectExtent l="19050" t="0" r="0" b="0"/>
            <wp:docPr id="18" name="Image 16" descr="Figure 1.6 : Mode d’action des acides organiques produits par les probiotiques contre les pathogènes bactériens. *X-COOH = CH3-CHOH-COOH dans le cas de l’acide lactique ou CH3COOH dans le cas de l’acide acét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ure 1.6 : Mode d’action des acides organiques produits par les probiotiques contre les pathogènes bactériens. *X-COOH = CH3-CHOH-COOH dans le cas de l’acide lactique ou CH3COOH dans le cas de l’acide acétique."/>
                    <pic:cNvPicPr>
                      <a:picLocks noChangeAspect="1" noChangeArrowheads="1"/>
                    </pic:cNvPicPr>
                  </pic:nvPicPr>
                  <pic:blipFill>
                    <a:blip r:embed="rId10"/>
                    <a:srcRect/>
                    <a:stretch>
                      <a:fillRect/>
                    </a:stretch>
                  </pic:blipFill>
                  <pic:spPr bwMode="auto">
                    <a:xfrm>
                      <a:off x="0" y="0"/>
                      <a:ext cx="4114800" cy="1000125"/>
                    </a:xfrm>
                    <a:prstGeom prst="rect">
                      <a:avLst/>
                    </a:prstGeom>
                    <a:noFill/>
                    <a:ln w="9525">
                      <a:noFill/>
                      <a:miter lim="800000"/>
                      <a:headEnd/>
                      <a:tailEnd/>
                    </a:ln>
                  </pic:spPr>
                </pic:pic>
              </a:graphicData>
            </a:graphic>
          </wp:inline>
        </w:drawing>
      </w:r>
    </w:p>
    <w:p w:rsidR="00582946" w:rsidRDefault="00582946" w:rsidP="00582946">
      <w:pPr>
        <w:pStyle w:val="NormalWeb"/>
        <w:spacing w:before="120" w:beforeAutospacing="0" w:after="120" w:afterAutospacing="0"/>
        <w:jc w:val="both"/>
        <w:rPr>
          <w:b/>
          <w:bCs/>
          <w:u w:val="single"/>
        </w:rPr>
      </w:pPr>
    </w:p>
    <w:p w:rsidR="00582946" w:rsidRDefault="00582946" w:rsidP="00582946">
      <w:pPr>
        <w:pStyle w:val="NormalWeb"/>
        <w:spacing w:before="120" w:beforeAutospacing="0" w:after="120" w:afterAutospacing="0"/>
        <w:jc w:val="both"/>
        <w:rPr>
          <w:b/>
          <w:bCs/>
          <w:u w:val="single"/>
        </w:rPr>
      </w:pPr>
    </w:p>
    <w:p w:rsidR="00582946" w:rsidRDefault="00582946" w:rsidP="00582946">
      <w:pPr>
        <w:pStyle w:val="NormalWeb"/>
        <w:spacing w:before="120" w:beforeAutospacing="0" w:after="120" w:afterAutospacing="0"/>
        <w:ind w:left="1134" w:hanging="1134"/>
        <w:jc w:val="both"/>
      </w:pPr>
      <w:r w:rsidRPr="00E42AEE">
        <w:rPr>
          <w:b/>
          <w:bCs/>
          <w:u w:val="single"/>
        </w:rPr>
        <w:t xml:space="preserve">Figure </w:t>
      </w:r>
      <w:r>
        <w:rPr>
          <w:b/>
          <w:bCs/>
          <w:u w:val="single"/>
        </w:rPr>
        <w:t>3</w:t>
      </w:r>
      <w:r w:rsidRPr="003015C7">
        <w:rPr>
          <w:b/>
          <w:bCs/>
        </w:rPr>
        <w:t xml:space="preserve"> : </w:t>
      </w:r>
      <w:r w:rsidRPr="00E42AEE">
        <w:t>Mode d’action des acides organiques produits par les probiotiques contre les pathogènes bactériens. *X-COOH = CH</w:t>
      </w:r>
      <w:r w:rsidRPr="00E42AEE">
        <w:rPr>
          <w:vertAlign w:val="subscript"/>
        </w:rPr>
        <w:t>3</w:t>
      </w:r>
      <w:r w:rsidRPr="00E42AEE">
        <w:t>-CHOH-COOH dans le cas de l’acide lactique ou CH</w:t>
      </w:r>
      <w:r w:rsidRPr="00E42AEE">
        <w:rPr>
          <w:vertAlign w:val="subscript"/>
        </w:rPr>
        <w:t>3</w:t>
      </w:r>
      <w:r w:rsidRPr="00E42AEE">
        <w:t>COOH dans le cas de l’acide acétique.</w:t>
      </w:r>
    </w:p>
    <w:p w:rsidR="00582946" w:rsidRDefault="00582946" w:rsidP="00582946">
      <w:pPr>
        <w:pStyle w:val="NormalWeb"/>
        <w:spacing w:before="120" w:beforeAutospacing="0" w:after="120" w:afterAutospacing="0" w:line="360" w:lineRule="auto"/>
        <w:ind w:firstLine="708"/>
        <w:jc w:val="both"/>
      </w:pPr>
    </w:p>
    <w:p w:rsidR="00582946" w:rsidRDefault="00582946" w:rsidP="00582946">
      <w:pPr>
        <w:pStyle w:val="NormalWeb"/>
        <w:spacing w:before="120" w:beforeAutospacing="0" w:after="120" w:afterAutospacing="0" w:line="360" w:lineRule="auto"/>
        <w:ind w:firstLine="708"/>
        <w:jc w:val="both"/>
      </w:pPr>
      <w:r w:rsidRPr="003015C7">
        <w:t xml:space="preserve">Dans une étude réalisée </w:t>
      </w:r>
      <w:r w:rsidRPr="003015C7">
        <w:rPr>
          <w:rStyle w:val="Accentuation"/>
        </w:rPr>
        <w:t>in vitro</w:t>
      </w:r>
      <w:r w:rsidRPr="003015C7">
        <w:t xml:space="preserve">, </w:t>
      </w:r>
      <w:r w:rsidRPr="00C30C8C">
        <w:rPr>
          <w:color w:val="0000FF"/>
        </w:rPr>
        <w:t xml:space="preserve">Hütt </w:t>
      </w:r>
      <w:r w:rsidRPr="00C30C8C">
        <w:rPr>
          <w:i/>
          <w:iCs/>
          <w:color w:val="0000FF"/>
        </w:rPr>
        <w:t>et al</w:t>
      </w:r>
      <w:r w:rsidRPr="00C30C8C">
        <w:rPr>
          <w:color w:val="0000FF"/>
        </w:rPr>
        <w:t>. (2006)</w:t>
      </w:r>
      <w:r w:rsidRPr="003015C7">
        <w:t xml:space="preserve"> ont observé que l’activité anti-Salmonella produit par trois souches de lactobacilles, </w:t>
      </w:r>
      <w:r w:rsidRPr="003015C7">
        <w:rPr>
          <w:rStyle w:val="Accentuation"/>
        </w:rPr>
        <w:t>L. paracasei</w:t>
      </w:r>
      <w:r w:rsidRPr="003015C7">
        <w:t xml:space="preserve"> 8700:2, </w:t>
      </w:r>
      <w:r w:rsidRPr="003015C7">
        <w:rPr>
          <w:rStyle w:val="Accentuation"/>
        </w:rPr>
        <w:t>L. plantarum</w:t>
      </w:r>
      <w:r w:rsidRPr="003015C7">
        <w:t xml:space="preserve"> 299V et </w:t>
      </w:r>
      <w:r w:rsidRPr="003015C7">
        <w:rPr>
          <w:rStyle w:val="Accentuation"/>
        </w:rPr>
        <w:t xml:space="preserve">L. fermentum </w:t>
      </w:r>
      <w:r w:rsidRPr="003015C7">
        <w:t xml:space="preserve">ME-3, en condition microaérophile de même que l’activité anti-Shigella de deux bifidobactéries, </w:t>
      </w:r>
      <w:r w:rsidRPr="003015C7">
        <w:rPr>
          <w:rStyle w:val="Accentuation"/>
        </w:rPr>
        <w:t>B. lactis</w:t>
      </w:r>
      <w:r w:rsidRPr="003015C7">
        <w:t xml:space="preserve"> Bb12 et </w:t>
      </w:r>
      <w:r w:rsidRPr="003015C7">
        <w:rPr>
          <w:rStyle w:val="Accentuation"/>
        </w:rPr>
        <w:t>B. longum</w:t>
      </w:r>
      <w:r w:rsidRPr="003015C7">
        <w:t xml:space="preserve"> 46, en condition anaérobie était associée à un effet du pH. </w:t>
      </w:r>
    </w:p>
    <w:p w:rsidR="00582946" w:rsidRPr="003015C7" w:rsidRDefault="00582946" w:rsidP="00582946">
      <w:pPr>
        <w:pStyle w:val="NormalWeb"/>
        <w:spacing w:before="120" w:beforeAutospacing="0" w:after="120" w:afterAutospacing="0" w:line="360" w:lineRule="auto"/>
        <w:ind w:firstLine="708"/>
        <w:jc w:val="both"/>
      </w:pPr>
      <w:r w:rsidRPr="003015C7">
        <w:t>Une corrélation positive entre la production d’acide lactique et l’activité inhibitrice a été observée. Cependant, la quantité d’acide acétique et l’activité inhibitrice des lactobacilles et des bifidobactéries cultivées en conditions anaérobiques étaient corrélées de façon négative.</w:t>
      </w:r>
    </w:p>
    <w:p w:rsidR="00582946" w:rsidRDefault="00582946" w:rsidP="00582946">
      <w:pPr>
        <w:pStyle w:val="NormalWeb"/>
        <w:spacing w:before="120" w:beforeAutospacing="0" w:after="120" w:afterAutospacing="0" w:line="360" w:lineRule="auto"/>
        <w:ind w:firstLine="708"/>
        <w:jc w:val="both"/>
      </w:pPr>
      <w:r w:rsidRPr="003015C7">
        <w:t xml:space="preserve">En utilisant un modèle murin, </w:t>
      </w:r>
      <w:r w:rsidRPr="007F18F8">
        <w:rPr>
          <w:color w:val="0000FF"/>
        </w:rPr>
        <w:t xml:space="preserve">Asahara </w:t>
      </w:r>
      <w:r w:rsidRPr="007F18F8">
        <w:rPr>
          <w:i/>
          <w:iCs/>
          <w:color w:val="0000FF"/>
        </w:rPr>
        <w:t>et al</w:t>
      </w:r>
      <w:r w:rsidRPr="007F18F8">
        <w:rPr>
          <w:color w:val="0000FF"/>
        </w:rPr>
        <w:t>. (2001)</w:t>
      </w:r>
      <w:r w:rsidRPr="003015C7">
        <w:rPr>
          <w:color w:val="FF0000"/>
        </w:rPr>
        <w:t xml:space="preserve"> </w:t>
      </w:r>
      <w:r w:rsidRPr="007F18F8">
        <w:t>ont observé</w:t>
      </w:r>
      <w:r w:rsidRPr="003015C7">
        <w:t xml:space="preserve"> qu’une infection à salmonelles induite lors d’un traitement aux antibiotiques pouvait être réduite de façon importante par la pré</w:t>
      </w:r>
      <w:r>
        <w:t>-</w:t>
      </w:r>
      <w:r w:rsidRPr="003015C7">
        <w:t xml:space="preserve">colonisation de l’intestin avec la souche </w:t>
      </w:r>
      <w:r w:rsidRPr="003015C7">
        <w:rPr>
          <w:rStyle w:val="Accentuation"/>
        </w:rPr>
        <w:t xml:space="preserve">B. breve </w:t>
      </w:r>
      <w:r w:rsidRPr="003015C7">
        <w:t xml:space="preserve">Yakult. </w:t>
      </w:r>
    </w:p>
    <w:p w:rsidR="00582946" w:rsidRDefault="00582946" w:rsidP="00582946">
      <w:pPr>
        <w:pStyle w:val="NormalWeb"/>
        <w:spacing w:before="120" w:beforeAutospacing="0" w:after="120" w:afterAutospacing="0" w:line="360" w:lineRule="auto"/>
        <w:ind w:firstLine="708"/>
        <w:jc w:val="both"/>
      </w:pPr>
      <w:r w:rsidRPr="003015C7">
        <w:lastRenderedPageBreak/>
        <w:t xml:space="preserve">Selon ces auteurs, la production d’acides organiques par la souche probiotique et une réduction du pH fécal seraient importantes pour l’activité anti-infectieuse obtenue contre la souche </w:t>
      </w:r>
      <w:r w:rsidRPr="003015C7">
        <w:rPr>
          <w:rStyle w:val="Accentuation"/>
        </w:rPr>
        <w:t>Salmonella typhimurium</w:t>
      </w:r>
      <w:r w:rsidRPr="003015C7">
        <w:t xml:space="preserve">. </w:t>
      </w:r>
    </w:p>
    <w:p w:rsidR="00582946" w:rsidRPr="003015C7" w:rsidRDefault="00582946" w:rsidP="00582946">
      <w:pPr>
        <w:pStyle w:val="NormalWeb"/>
        <w:spacing w:before="120" w:beforeAutospacing="0" w:after="120" w:afterAutospacing="0" w:line="360" w:lineRule="auto"/>
        <w:ind w:firstLine="708"/>
        <w:jc w:val="both"/>
        <w:rPr>
          <w:color w:val="FF0000"/>
        </w:rPr>
      </w:pPr>
      <w:r w:rsidRPr="003015C7">
        <w:t xml:space="preserve">En utilisant la même souche, ces mêmes auteurs ont observé que la production d’une forte concentration d’acides organiques peut également jouer un rôle important dans l’inhibition de la production de toxines par une souche de </w:t>
      </w:r>
      <w:r w:rsidRPr="003015C7">
        <w:rPr>
          <w:rStyle w:val="Accentuation"/>
        </w:rPr>
        <w:t>E. coli</w:t>
      </w:r>
      <w:r w:rsidRPr="003015C7">
        <w:t xml:space="preserve"> O157:H7 dans un modèle murin </w:t>
      </w:r>
      <w:r w:rsidRPr="007F18F8">
        <w:rPr>
          <w:color w:val="0000FF"/>
        </w:rPr>
        <w:t xml:space="preserve">(Asahara </w:t>
      </w:r>
      <w:r w:rsidRPr="007F18F8">
        <w:rPr>
          <w:i/>
          <w:iCs/>
          <w:color w:val="0000FF"/>
        </w:rPr>
        <w:t>et al</w:t>
      </w:r>
      <w:r w:rsidRPr="007F18F8">
        <w:rPr>
          <w:color w:val="0000FF"/>
        </w:rPr>
        <w:t>., 2004)</w:t>
      </w:r>
      <w:r w:rsidRPr="003015C7">
        <w:rPr>
          <w:color w:val="FF0000"/>
        </w:rPr>
        <w:t>.</w:t>
      </w:r>
    </w:p>
    <w:p w:rsidR="00582946" w:rsidRPr="003015C7" w:rsidRDefault="00582946" w:rsidP="00582946">
      <w:pPr>
        <w:pStyle w:val="NormalWeb"/>
        <w:spacing w:before="120" w:beforeAutospacing="0" w:after="120" w:afterAutospacing="0" w:line="360" w:lineRule="auto"/>
        <w:ind w:firstLine="708"/>
        <w:jc w:val="both"/>
        <w:rPr>
          <w:color w:val="FF0000"/>
        </w:rPr>
      </w:pPr>
      <w:r w:rsidRPr="003015C7">
        <w:t xml:space="preserve">La production d’autres agents antimicrobiens, tels que les bactériocines, ont aussi été rapportés principalement lors d’études </w:t>
      </w:r>
      <w:r w:rsidRPr="003015C7">
        <w:rPr>
          <w:rStyle w:val="Accentuation"/>
        </w:rPr>
        <w:t>in vitro</w:t>
      </w:r>
      <w:r w:rsidRPr="003015C7">
        <w:t xml:space="preserve">. Les bactériocines sont définies comme des composés protéiques ayant une activité inhibitrice contre un large spectre de souches bactériennes </w:t>
      </w:r>
      <w:r w:rsidRPr="00C30C8C">
        <w:rPr>
          <w:color w:val="0000FF"/>
        </w:rPr>
        <w:t>(Klaenhammer, 1993)</w:t>
      </w:r>
      <w:r w:rsidRPr="00C30C8C">
        <w:t>.</w:t>
      </w:r>
      <w:r w:rsidRPr="003015C7">
        <w:t xml:space="preserve"> Elles agissent principalement sur la membrane externe des bactéries cibles en formant des pores qui mènent à la libération du contenu intracellulaire et à la mort de la bactérie affectée </w:t>
      </w:r>
      <w:r w:rsidRPr="00C30C8C">
        <w:rPr>
          <w:color w:val="0000FF"/>
        </w:rPr>
        <w:t>(Klaenhammer, 1993)</w:t>
      </w:r>
      <w:r w:rsidRPr="00C30C8C">
        <w:t>.</w:t>
      </w:r>
    </w:p>
    <w:p w:rsidR="00582946" w:rsidRPr="003015C7" w:rsidRDefault="00582946" w:rsidP="00582946">
      <w:pPr>
        <w:pStyle w:val="NormalWeb"/>
        <w:spacing w:before="120" w:beforeAutospacing="0" w:after="120" w:afterAutospacing="0" w:line="360" w:lineRule="auto"/>
        <w:ind w:firstLine="708"/>
        <w:jc w:val="both"/>
        <w:rPr>
          <w:color w:val="FF0000"/>
        </w:rPr>
      </w:pPr>
      <w:r w:rsidRPr="003015C7">
        <w:t xml:space="preserve"> Les lactobacilles sont souvent associés à la production de bactériocines </w:t>
      </w:r>
      <w:r w:rsidRPr="00C30C8C">
        <w:rPr>
          <w:color w:val="0000FF"/>
        </w:rPr>
        <w:t>(Fooks et Gibson, 2002)</w:t>
      </w:r>
      <w:r w:rsidRPr="009957FC">
        <w:t>.</w:t>
      </w:r>
      <w:r w:rsidRPr="003015C7">
        <w:t xml:space="preserve"> La production de bactériocines par les souches de bifidobactéries est moins documentée. Néanmoins, il a été rapporté que la souche </w:t>
      </w:r>
      <w:r w:rsidRPr="003015C7">
        <w:rPr>
          <w:rStyle w:val="Accentuation"/>
        </w:rPr>
        <w:t xml:space="preserve">B. bifidum </w:t>
      </w:r>
      <w:r w:rsidRPr="003015C7">
        <w:t xml:space="preserve">NCFB 1454 produit une bactériocine active contre </w:t>
      </w:r>
      <w:r w:rsidRPr="00B70668">
        <w:rPr>
          <w:rStyle w:val="Accentuation"/>
        </w:rPr>
        <w:t xml:space="preserve">Listeria </w:t>
      </w:r>
      <w:r w:rsidRPr="003015C7">
        <w:t xml:space="preserve"> </w:t>
      </w:r>
      <w:r w:rsidRPr="003015C7">
        <w:rPr>
          <w:rStyle w:val="Accentuation"/>
        </w:rPr>
        <w:t>monocytogenes</w:t>
      </w:r>
      <w:r w:rsidRPr="003015C7">
        <w:t xml:space="preserve"> </w:t>
      </w:r>
      <w:r w:rsidRPr="00C30C8C">
        <w:rPr>
          <w:color w:val="0000FF"/>
        </w:rPr>
        <w:t>(Yildirim et Johnson, 1998)</w:t>
      </w:r>
      <w:r w:rsidRPr="00C30C8C">
        <w:t>.</w:t>
      </w:r>
    </w:p>
    <w:p w:rsidR="00582946" w:rsidRPr="003015C7" w:rsidRDefault="00582946" w:rsidP="00582946">
      <w:pPr>
        <w:pStyle w:val="NormalWeb"/>
        <w:spacing w:before="120" w:beforeAutospacing="0" w:after="120" w:afterAutospacing="0" w:line="360" w:lineRule="auto"/>
        <w:ind w:firstLine="708"/>
        <w:jc w:val="both"/>
      </w:pPr>
      <w:r w:rsidRPr="003015C7">
        <w:t xml:space="preserve">Lors d’expérience </w:t>
      </w:r>
      <w:r w:rsidRPr="003015C7">
        <w:rPr>
          <w:rStyle w:val="Accentuation"/>
        </w:rPr>
        <w:t>in vitro</w:t>
      </w:r>
      <w:r w:rsidRPr="003015C7">
        <w:t xml:space="preserve">, certains auteurs ont proposé une action synergétique entre les substances protéiques antimicrobiennes et l’acide organique pour expliquer l’action inhibitrice des bactéries probiotiques. </w:t>
      </w:r>
    </w:p>
    <w:p w:rsidR="00582946" w:rsidRDefault="00582946" w:rsidP="00582946">
      <w:pPr>
        <w:pStyle w:val="NormalWeb"/>
        <w:spacing w:before="120" w:beforeAutospacing="0" w:after="120" w:afterAutospacing="0" w:line="360" w:lineRule="auto"/>
        <w:ind w:firstLine="708"/>
        <w:jc w:val="both"/>
      </w:pPr>
      <w:r w:rsidRPr="003015C7">
        <w:t xml:space="preserve">Ainsi, </w:t>
      </w:r>
      <w:r w:rsidRPr="00C30C8C">
        <w:rPr>
          <w:color w:val="0000FF"/>
        </w:rPr>
        <w:t xml:space="preserve">Gopal </w:t>
      </w:r>
      <w:r w:rsidRPr="00C30C8C">
        <w:rPr>
          <w:i/>
          <w:iCs/>
          <w:color w:val="0000FF"/>
        </w:rPr>
        <w:t>et al</w:t>
      </w:r>
      <w:r w:rsidRPr="00C30C8C">
        <w:rPr>
          <w:color w:val="0000FF"/>
        </w:rPr>
        <w:t>. (2001)</w:t>
      </w:r>
      <w:r w:rsidRPr="003015C7">
        <w:t xml:space="preserve"> ont mené une série d’expériences pour étudier l’inhibition </w:t>
      </w:r>
      <w:r w:rsidRPr="003015C7">
        <w:rPr>
          <w:rStyle w:val="Accentuation"/>
        </w:rPr>
        <w:t>in vitro</w:t>
      </w:r>
      <w:r w:rsidRPr="003015C7">
        <w:t xml:space="preserve"> d’une souche d’</w:t>
      </w:r>
      <w:r w:rsidRPr="003015C7">
        <w:rPr>
          <w:rStyle w:val="Accentuation"/>
        </w:rPr>
        <w:t xml:space="preserve">E. coli </w:t>
      </w:r>
      <w:r w:rsidRPr="003015C7">
        <w:t xml:space="preserve">O157:H7 par </w:t>
      </w:r>
      <w:r w:rsidRPr="003015C7">
        <w:rPr>
          <w:rStyle w:val="Accentuation"/>
        </w:rPr>
        <w:t xml:space="preserve">L. rhamnosus </w:t>
      </w:r>
      <w:r w:rsidRPr="003015C7">
        <w:t xml:space="preserve">DR20, </w:t>
      </w:r>
      <w:r>
        <w:t xml:space="preserve">              </w:t>
      </w:r>
      <w:r w:rsidRPr="003015C7">
        <w:rPr>
          <w:rStyle w:val="Accentuation"/>
        </w:rPr>
        <w:t>L. acidophilus</w:t>
      </w:r>
      <w:r w:rsidRPr="003015C7">
        <w:t xml:space="preserve"> HN017 et </w:t>
      </w:r>
      <w:r w:rsidRPr="003015C7">
        <w:rPr>
          <w:rStyle w:val="Accentuation"/>
        </w:rPr>
        <w:t>B. lactis</w:t>
      </w:r>
      <w:r w:rsidRPr="003015C7">
        <w:t xml:space="preserve"> DR10. Le pré-traitement d’</w:t>
      </w:r>
      <w:r w:rsidRPr="003015C7">
        <w:rPr>
          <w:rStyle w:val="Accentuation"/>
        </w:rPr>
        <w:t xml:space="preserve">E. coli </w:t>
      </w:r>
      <w:r w:rsidRPr="003015C7">
        <w:t xml:space="preserve">O157:H7 avec les surnageants de culture des bactéries réduit l’association de ce pathogène avec les cellules Caco-2 et HT-29. </w:t>
      </w:r>
    </w:p>
    <w:p w:rsidR="00582946" w:rsidRDefault="00582946" w:rsidP="00582946">
      <w:pPr>
        <w:pStyle w:val="NormalWeb"/>
        <w:spacing w:before="120" w:beforeAutospacing="0" w:after="120" w:afterAutospacing="0" w:line="360" w:lineRule="auto"/>
        <w:ind w:firstLine="708"/>
        <w:jc w:val="both"/>
      </w:pPr>
      <w:r w:rsidRPr="003015C7">
        <w:t xml:space="preserve">Les molécules inhibitrices sécrétées dans les surnageants par ces bactéries sont partiellement affectées par des traitements avec la lactate déshydrogénase, trypsine et protéinase K laissant suggérer que les substances protéiques antibactériennes ne sont pas uniquement responsable de l’inhibition et qu’elles agissent de concert avec l’acide produit. </w:t>
      </w:r>
    </w:p>
    <w:p w:rsidR="00582946" w:rsidRPr="003015C7" w:rsidRDefault="00582946" w:rsidP="00582946">
      <w:pPr>
        <w:pStyle w:val="NormalWeb"/>
        <w:spacing w:before="120" w:beforeAutospacing="0" w:after="120" w:afterAutospacing="0" w:line="360" w:lineRule="auto"/>
        <w:ind w:firstLine="708"/>
        <w:jc w:val="both"/>
      </w:pPr>
      <w:r w:rsidRPr="003015C7">
        <w:lastRenderedPageBreak/>
        <w:t xml:space="preserve">Selon </w:t>
      </w:r>
      <w:r w:rsidRPr="00C30C8C">
        <w:rPr>
          <w:color w:val="0000FF"/>
        </w:rPr>
        <w:t xml:space="preserve">Servin </w:t>
      </w:r>
      <w:r w:rsidRPr="00C30C8C">
        <w:rPr>
          <w:i/>
          <w:iCs/>
          <w:color w:val="0000FF"/>
        </w:rPr>
        <w:t>et al</w:t>
      </w:r>
      <w:r w:rsidRPr="00C30C8C">
        <w:rPr>
          <w:color w:val="0000FF"/>
        </w:rPr>
        <w:t>. (2004)</w:t>
      </w:r>
      <w:r w:rsidRPr="003015C7">
        <w:t xml:space="preserve"> ceci s’expliquerait par une diminution du pH qui provoque une perméabilisation de la membrane externe des bactéries Gram-négatif facilitant ainsi la pénétration d’autres substances antimicrobiennes telles que les bactériocines.</w:t>
      </w:r>
    </w:p>
    <w:p w:rsidR="00582946" w:rsidRPr="003015C7" w:rsidRDefault="00582946" w:rsidP="00582946">
      <w:pPr>
        <w:pStyle w:val="Titre4"/>
        <w:spacing w:before="120" w:after="120" w:line="360" w:lineRule="auto"/>
        <w:ind w:firstLine="708"/>
        <w:jc w:val="both"/>
        <w:rPr>
          <w:color w:val="FF0000"/>
          <w:sz w:val="24"/>
          <w:szCs w:val="24"/>
        </w:rPr>
      </w:pPr>
      <w:r w:rsidRPr="00FD0A7B">
        <w:rPr>
          <w:bCs w:val="0"/>
          <w:sz w:val="24"/>
          <w:szCs w:val="24"/>
        </w:rPr>
        <w:t>I.3.1</w:t>
      </w:r>
      <w:r>
        <w:rPr>
          <w:bCs w:val="0"/>
          <w:sz w:val="24"/>
          <w:szCs w:val="24"/>
        </w:rPr>
        <w:t>.3</w:t>
      </w:r>
      <w:r w:rsidRPr="00FD0A7B">
        <w:rPr>
          <w:bCs w:val="0"/>
          <w:sz w:val="24"/>
          <w:szCs w:val="24"/>
        </w:rPr>
        <w:t>.</w:t>
      </w:r>
      <w:r w:rsidRPr="00A916D5">
        <w:rPr>
          <w:b w:val="0"/>
        </w:rPr>
        <w:t xml:space="preserve"> </w:t>
      </w:r>
      <w:r w:rsidRPr="00FD0A7B">
        <w:rPr>
          <w:sz w:val="24"/>
          <w:szCs w:val="24"/>
        </w:rPr>
        <w:t>Compétition au niveau de l’utilisation des nutriments</w:t>
      </w:r>
    </w:p>
    <w:p w:rsidR="00582946" w:rsidRDefault="00582946" w:rsidP="00582946">
      <w:pPr>
        <w:pStyle w:val="NormalWeb"/>
        <w:spacing w:before="120" w:beforeAutospacing="0" w:after="120" w:afterAutospacing="0" w:line="360" w:lineRule="auto"/>
        <w:ind w:firstLine="708"/>
        <w:jc w:val="both"/>
      </w:pPr>
      <w:r w:rsidRPr="003015C7">
        <w:t xml:space="preserve">L’inhibition de la croissance des pathogènes peut également s’effectuer par un processus de restriction des nutriments. Il est évident que la capacité des micro-organismes à entrer en compétition pour limiter les nutriments disponibles est un facteur non négligeable qui détermine la composition du microbiote. </w:t>
      </w:r>
    </w:p>
    <w:p w:rsidR="00582946" w:rsidRDefault="00582946" w:rsidP="00582946">
      <w:pPr>
        <w:pStyle w:val="NormalWeb"/>
        <w:spacing w:before="120" w:beforeAutospacing="0" w:after="120" w:afterAutospacing="0" w:line="360" w:lineRule="auto"/>
        <w:ind w:firstLine="708"/>
        <w:jc w:val="both"/>
      </w:pPr>
      <w:r w:rsidRPr="003015C7">
        <w:t xml:space="preserve">Ainsi, une augmentation du nombre de bifidobactéries ou de lactobacilles obtenue lors d’un traitement probiotique permettrait de diminuer les substrats disponibles pour l’implantation de micro-organismes pathogènes </w:t>
      </w:r>
      <w:r w:rsidRPr="00C30C8C">
        <w:rPr>
          <w:color w:val="0000FF"/>
        </w:rPr>
        <w:t>(Fooks et Gibson, 2002)</w:t>
      </w:r>
      <w:r w:rsidRPr="00C30C8C">
        <w:t xml:space="preserve">. </w:t>
      </w:r>
    </w:p>
    <w:p w:rsidR="00582946" w:rsidRPr="003015C7" w:rsidRDefault="00582946" w:rsidP="00582946">
      <w:pPr>
        <w:pStyle w:val="NormalWeb"/>
        <w:spacing w:before="120" w:beforeAutospacing="0" w:after="120" w:afterAutospacing="0" w:line="360" w:lineRule="auto"/>
        <w:ind w:firstLine="708"/>
        <w:jc w:val="both"/>
      </w:pPr>
      <w:r w:rsidRPr="003015C7">
        <w:t>Des équipes de recherche travaillent actuellement sur cette thématique importante afin de comprendre les interactions complexes entre les groupes microbiens qui ont lieu dans le côlon.</w:t>
      </w:r>
    </w:p>
    <w:p w:rsidR="00582946" w:rsidRPr="00FD0A7B" w:rsidRDefault="00582946" w:rsidP="00582946">
      <w:pPr>
        <w:pStyle w:val="Titre4"/>
        <w:spacing w:before="120" w:after="120" w:line="360" w:lineRule="auto"/>
        <w:ind w:firstLine="708"/>
        <w:jc w:val="both"/>
        <w:rPr>
          <w:sz w:val="24"/>
          <w:szCs w:val="24"/>
        </w:rPr>
      </w:pPr>
      <w:r w:rsidRPr="00FD0A7B">
        <w:rPr>
          <w:bCs w:val="0"/>
          <w:sz w:val="24"/>
          <w:szCs w:val="24"/>
        </w:rPr>
        <w:t>I.3.1</w:t>
      </w:r>
      <w:r>
        <w:rPr>
          <w:bCs w:val="0"/>
          <w:sz w:val="24"/>
          <w:szCs w:val="24"/>
        </w:rPr>
        <w:t>.4</w:t>
      </w:r>
      <w:r w:rsidRPr="00FD0A7B">
        <w:rPr>
          <w:bCs w:val="0"/>
          <w:sz w:val="24"/>
          <w:szCs w:val="24"/>
        </w:rPr>
        <w:t>.</w:t>
      </w:r>
      <w:r w:rsidRPr="00A916D5">
        <w:rPr>
          <w:b w:val="0"/>
        </w:rPr>
        <w:t xml:space="preserve"> </w:t>
      </w:r>
      <w:r w:rsidRPr="00FD0A7B">
        <w:rPr>
          <w:sz w:val="24"/>
          <w:szCs w:val="24"/>
        </w:rPr>
        <w:t>Stimulation des mécanismes de défense immunitaire</w:t>
      </w:r>
    </w:p>
    <w:p w:rsidR="00582946" w:rsidRPr="003015C7" w:rsidRDefault="00582946" w:rsidP="00582946">
      <w:pPr>
        <w:pStyle w:val="NormalWeb"/>
        <w:spacing w:before="120" w:beforeAutospacing="0" w:after="120" w:afterAutospacing="0" w:line="360" w:lineRule="auto"/>
        <w:ind w:firstLine="708"/>
        <w:jc w:val="both"/>
      </w:pPr>
      <w:r w:rsidRPr="003015C7">
        <w:t xml:space="preserve">Le dernier mécanisme porte sur l’interaction des probiotiques avec le système immunitaire pour accroître la réponse immune de l’hôte contre des entéropathogènes. Parmi les effets observés, quelques auteurs soulignent une stimulation de l’immunité adaptative (IgA, IgG) et innée (macrophages, basophiles, monocytes) par les probiotiques </w:t>
      </w:r>
      <w:r w:rsidRPr="00C30C8C">
        <w:rPr>
          <w:color w:val="0000FF"/>
        </w:rPr>
        <w:t>(Fooks et Gibson, 2002 ; Gill, 2003 ; Servin, 2004)</w:t>
      </w:r>
      <w:r w:rsidRPr="00C30C8C">
        <w:t>.</w:t>
      </w:r>
      <w:r w:rsidRPr="003015C7">
        <w:t xml:space="preserve"> </w:t>
      </w:r>
    </w:p>
    <w:p w:rsidR="00582946" w:rsidRDefault="00582946" w:rsidP="00582946">
      <w:pPr>
        <w:pStyle w:val="NormalWeb"/>
        <w:spacing w:before="120" w:beforeAutospacing="0" w:after="120" w:afterAutospacing="0" w:line="360" w:lineRule="auto"/>
        <w:ind w:firstLine="708"/>
        <w:jc w:val="both"/>
      </w:pPr>
      <w:r w:rsidRPr="003015C7">
        <w:t xml:space="preserve">Par exemple, </w:t>
      </w:r>
      <w:r w:rsidRPr="00C30C8C">
        <w:rPr>
          <w:color w:val="0000FF"/>
        </w:rPr>
        <w:t>Shu et Gill (2001)</w:t>
      </w:r>
      <w:r w:rsidRPr="003015C7">
        <w:t xml:space="preserve"> ont étudié l’effet d’une souche commerciale de bifidobactéries administrée sous la forme d’un lait fermenté chez des souris BALB/c et C57BL/6 dans le but de prévenir l’infection à </w:t>
      </w:r>
      <w:r w:rsidRPr="003015C7">
        <w:rPr>
          <w:rStyle w:val="Accentuation"/>
        </w:rPr>
        <w:t>E. coli</w:t>
      </w:r>
      <w:r w:rsidRPr="003015C7">
        <w:t xml:space="preserve"> O157:H7. </w:t>
      </w:r>
    </w:p>
    <w:p w:rsidR="00582946" w:rsidRDefault="00582946" w:rsidP="00582946">
      <w:pPr>
        <w:pStyle w:val="NormalWeb"/>
        <w:spacing w:before="120" w:beforeAutospacing="0" w:after="120" w:afterAutospacing="0" w:line="360" w:lineRule="auto"/>
        <w:ind w:firstLine="708"/>
        <w:jc w:val="both"/>
      </w:pPr>
      <w:r w:rsidRPr="003015C7">
        <w:t xml:space="preserve">La souche de bifidobactéries a pu réduire la sévérité de l’infection à </w:t>
      </w:r>
      <w:r w:rsidRPr="003015C7">
        <w:rPr>
          <w:rStyle w:val="Accentuation"/>
        </w:rPr>
        <w:t>E. coli</w:t>
      </w:r>
      <w:r w:rsidRPr="003015C7">
        <w:t xml:space="preserve"> O157:H7 et cette réduction a été associée à la stimulation immunitaire obtenue par l’ingestion de probiotiques. </w:t>
      </w:r>
    </w:p>
    <w:p w:rsidR="00582946" w:rsidRPr="003015C7" w:rsidRDefault="00582946" w:rsidP="00582946">
      <w:pPr>
        <w:pStyle w:val="NormalWeb"/>
        <w:spacing w:before="120" w:beforeAutospacing="0" w:after="120" w:afterAutospacing="0" w:line="360" w:lineRule="auto"/>
        <w:ind w:firstLine="708"/>
        <w:jc w:val="both"/>
      </w:pPr>
      <w:r w:rsidRPr="003015C7">
        <w:t>Ces auteurs ont attribué cet effet protecteur à une réponse en IgA anti</w:t>
      </w:r>
      <w:r w:rsidRPr="003015C7">
        <w:rPr>
          <w:rStyle w:val="Accentuation"/>
        </w:rPr>
        <w:t>-</w:t>
      </w:r>
      <w:r>
        <w:rPr>
          <w:rStyle w:val="Accentuation"/>
        </w:rPr>
        <w:t xml:space="preserve"> </w:t>
      </w:r>
      <w:r w:rsidRPr="003015C7">
        <w:rPr>
          <w:rStyle w:val="Accentuation"/>
        </w:rPr>
        <w:t>E. coli</w:t>
      </w:r>
      <w:r w:rsidRPr="003015C7">
        <w:t xml:space="preserve"> O157:H7 plus forte chez les souris recevant la souche probiotique comparativement aux contrôles.</w:t>
      </w:r>
    </w:p>
    <w:p w:rsidR="00582946" w:rsidRDefault="00582946" w:rsidP="00582946">
      <w:pPr>
        <w:pStyle w:val="NormalWeb"/>
        <w:spacing w:before="120" w:beforeAutospacing="0" w:after="120" w:afterAutospacing="0" w:line="360" w:lineRule="auto"/>
        <w:ind w:firstLine="708"/>
        <w:jc w:val="both"/>
      </w:pPr>
      <w:r w:rsidRPr="003015C7">
        <w:lastRenderedPageBreak/>
        <w:t xml:space="preserve">Une seule étude animale s’est intéressée à l’activité antagoniste des probiotiques en relation avec la réponse immune durant une infection entérique virale </w:t>
      </w:r>
      <w:r w:rsidRPr="00C30C8C">
        <w:rPr>
          <w:color w:val="0000FF"/>
        </w:rPr>
        <w:t xml:space="preserve">(Qiao </w:t>
      </w:r>
      <w:r w:rsidRPr="00C30C8C">
        <w:rPr>
          <w:i/>
          <w:iCs/>
          <w:color w:val="0000FF"/>
        </w:rPr>
        <w:t>et al</w:t>
      </w:r>
      <w:r w:rsidRPr="00C30C8C">
        <w:rPr>
          <w:color w:val="0000FF"/>
        </w:rPr>
        <w:t>., 2002)</w:t>
      </w:r>
      <w:r w:rsidRPr="003015C7">
        <w:t>. Dans cette étude, des rotavirus rhésus ont été administrés par voie orale chez des souris BALB/c traitées par la suite par des bifidobactéries (</w:t>
      </w:r>
      <w:r w:rsidRPr="003015C7">
        <w:rPr>
          <w:rStyle w:val="Accentuation"/>
        </w:rPr>
        <w:t xml:space="preserve">B. bifidum </w:t>
      </w:r>
      <w:r w:rsidRPr="003015C7">
        <w:t xml:space="preserve">et </w:t>
      </w:r>
      <w:r w:rsidRPr="003015C7">
        <w:rPr>
          <w:rStyle w:val="Accentuation"/>
        </w:rPr>
        <w:t>B. infantis</w:t>
      </w:r>
      <w:r w:rsidRPr="003015C7">
        <w:t xml:space="preserve">). </w:t>
      </w:r>
    </w:p>
    <w:p w:rsidR="00582946" w:rsidRPr="003015C7" w:rsidRDefault="00582946" w:rsidP="00582946">
      <w:pPr>
        <w:pStyle w:val="NormalWeb"/>
        <w:spacing w:before="120" w:beforeAutospacing="0" w:after="120" w:afterAutospacing="0" w:line="360" w:lineRule="auto"/>
        <w:ind w:firstLine="708"/>
        <w:jc w:val="both"/>
      </w:pPr>
      <w:r w:rsidRPr="003015C7">
        <w:t>Les niveaux d’IgA spécifiques aux rotavirus dans les fèces et dans le sérum étaient plus élevés chez les souris traitées avec des bifidobactéries après l’infection que les souris infectées au rotavirus et ne recevant pas de bifidobactéries. Les bifidobactéries agiraient dans ce cas comme des adjuvants en modulant une réponse rapide de la muqueuse et une forte production d’IgA spécifiques pour atténuer la sévérité de la diarrhée induite par rotavirus.</w:t>
      </w:r>
    </w:p>
    <w:sectPr w:rsidR="00582946" w:rsidRPr="003015C7" w:rsidSect="00701DE3">
      <w:headerReference w:type="even" r:id="rId11"/>
      <w:headerReference w:type="default" r:id="rId12"/>
      <w:footerReference w:type="default" r:id="rId13"/>
      <w:pgSz w:w="11906" w:h="16838" w:code="9"/>
      <w:pgMar w:top="1259" w:right="1134" w:bottom="1259" w:left="2268"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523" w:rsidRDefault="000F2523" w:rsidP="00582946">
      <w:r>
        <w:separator/>
      </w:r>
    </w:p>
  </w:endnote>
  <w:endnote w:type="continuationSeparator" w:id="1">
    <w:p w:rsidR="000F2523" w:rsidRDefault="000F2523" w:rsidP="0058294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F98" w:rsidRPr="00C94E48" w:rsidRDefault="000F2523" w:rsidP="00582946">
    <w:pPr>
      <w:pStyle w:val="Pieddepage"/>
      <w:pBdr>
        <w:top w:val="single" w:sz="4" w:space="1" w:color="auto"/>
      </w:pBdr>
      <w:jc w:val="right"/>
      <w:rPr>
        <w:szCs w:val="20"/>
      </w:rPr>
    </w:pPr>
    <w:r w:rsidRPr="006378A5">
      <w:rPr>
        <w:i/>
        <w:sz w:val="20"/>
        <w:szCs w:val="20"/>
      </w:rPr>
      <w:t>Revue bibliographique</w:t>
    </w:r>
    <w:r>
      <w:rPr>
        <w:i/>
        <w:sz w:val="20"/>
        <w:szCs w:val="20"/>
      </w:rPr>
      <w:t xml:space="preserve"> : Chapitre </w:t>
    </w:r>
    <w:r w:rsidR="00582946">
      <w:rPr>
        <w:i/>
        <w:sz w:val="20"/>
        <w:szCs w:val="20"/>
      </w:rPr>
      <w:t>I</w:t>
    </w:r>
    <w:r>
      <w:rPr>
        <w:i/>
        <w:sz w:val="20"/>
        <w:szCs w:val="20"/>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523" w:rsidRDefault="000F2523" w:rsidP="00582946">
      <w:r>
        <w:separator/>
      </w:r>
    </w:p>
  </w:footnote>
  <w:footnote w:type="continuationSeparator" w:id="1">
    <w:p w:rsidR="000F2523" w:rsidRDefault="000F2523" w:rsidP="005829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F98" w:rsidRDefault="000F2523" w:rsidP="00BC253D">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3E4F98" w:rsidRDefault="000F2523" w:rsidP="00BC253D">
    <w:pPr>
      <w:pStyle w:val="En-tt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F98" w:rsidRDefault="000F2523" w:rsidP="00BC253D">
    <w:pPr>
      <w:pStyle w:val="En-tte"/>
      <w:framePr w:wrap="around" w:vAnchor="text" w:hAnchor="page" w:x="11269" w:y="-168"/>
      <w:rPr>
        <w:rStyle w:val="Numrodepage"/>
      </w:rPr>
    </w:pPr>
    <w:r>
      <w:rPr>
        <w:rStyle w:val="Numrodepage"/>
      </w:rPr>
      <w:fldChar w:fldCharType="begin"/>
    </w:r>
    <w:r>
      <w:rPr>
        <w:rStyle w:val="Numrodepage"/>
      </w:rPr>
      <w:instrText xml:space="preserve">PAGE  </w:instrText>
    </w:r>
    <w:r>
      <w:rPr>
        <w:rStyle w:val="Numrodepage"/>
      </w:rPr>
      <w:fldChar w:fldCharType="separate"/>
    </w:r>
    <w:r w:rsidR="00582946">
      <w:rPr>
        <w:rStyle w:val="Numrodepage"/>
        <w:noProof/>
      </w:rPr>
      <w:t>3</w:t>
    </w:r>
    <w:r>
      <w:rPr>
        <w:rStyle w:val="Numrodepage"/>
      </w:rPr>
      <w:fldChar w:fldCharType="end"/>
    </w:r>
  </w:p>
  <w:p w:rsidR="003E4F98" w:rsidRPr="00F42064" w:rsidRDefault="000F2523" w:rsidP="00EB6A09">
    <w:pPr>
      <w:pStyle w:val="En-tte"/>
      <w:tabs>
        <w:tab w:val="clear" w:pos="9072"/>
        <w:tab w:val="right" w:pos="9540"/>
      </w:tabs>
      <w:ind w:left="-1440" w:right="-856"/>
      <w:jc w:val="center"/>
      <w:rPr>
        <w:i/>
        <w:sz w:val="14"/>
        <w:szCs w:val="14"/>
      </w:rPr>
    </w:pPr>
    <w:r w:rsidRPr="008E0A5B">
      <w:rPr>
        <w:rFonts w:ascii="Book Antiqua" w:hAnsi="Book Antiqua"/>
        <w:i/>
        <w:sz w:val="16"/>
        <w:szCs w:val="16"/>
      </w:rPr>
      <w:t xml:space="preserve">  </w:t>
    </w:r>
    <w:r w:rsidRPr="00F42064">
      <w:rPr>
        <w:iCs/>
        <w:noProof/>
        <w:sz w:val="14"/>
        <w:szCs w:val="14"/>
      </w:rPr>
      <w:t>B. Nawel.</w:t>
    </w:r>
    <w:r w:rsidRPr="00F42064">
      <w:rPr>
        <w:i/>
        <w:sz w:val="14"/>
        <w:szCs w:val="14"/>
      </w:rPr>
      <w:t xml:space="preserve"> </w:t>
    </w:r>
    <w:r w:rsidRPr="00F42064">
      <w:rPr>
        <w:iCs/>
        <w:sz w:val="14"/>
        <w:szCs w:val="14"/>
      </w:rPr>
      <w:t xml:space="preserve">Antagonisme de </w:t>
    </w:r>
    <w:r w:rsidRPr="00947F22">
      <w:rPr>
        <w:i/>
        <w:sz w:val="14"/>
        <w:szCs w:val="14"/>
      </w:rPr>
      <w:t>Bifidobacterium</w:t>
    </w:r>
    <w:r w:rsidRPr="00F42064">
      <w:rPr>
        <w:iCs/>
        <w:sz w:val="14"/>
        <w:szCs w:val="14"/>
      </w:rPr>
      <w:t xml:space="preserve"> sp et </w:t>
    </w:r>
    <w:r w:rsidRPr="00947F22">
      <w:rPr>
        <w:i/>
        <w:sz w:val="14"/>
        <w:szCs w:val="14"/>
      </w:rPr>
      <w:t>Lactobacillus rhamnosus</w:t>
    </w:r>
    <w:r w:rsidRPr="00F42064">
      <w:rPr>
        <w:iCs/>
        <w:sz w:val="14"/>
        <w:szCs w:val="14"/>
      </w:rPr>
      <w:t xml:space="preserve"> vis-à-vis de</w:t>
    </w:r>
    <w:r w:rsidRPr="00F42064">
      <w:rPr>
        <w:i/>
        <w:sz w:val="14"/>
        <w:szCs w:val="14"/>
      </w:rPr>
      <w:t xml:space="preserve"> </w:t>
    </w:r>
    <w:r w:rsidRPr="00F42064">
      <w:rPr>
        <w:iCs/>
        <w:sz w:val="14"/>
        <w:szCs w:val="14"/>
      </w:rPr>
      <w:t>quelques souches pathogènes. Magister. Hyg et séc agro-alimentaire. univ.</w:t>
    </w:r>
    <w:r>
      <w:rPr>
        <w:iCs/>
        <w:sz w:val="14"/>
        <w:szCs w:val="14"/>
      </w:rPr>
      <w:t xml:space="preserve"> </w:t>
    </w:r>
    <w:r w:rsidRPr="00F42064">
      <w:rPr>
        <w:iCs/>
        <w:sz w:val="14"/>
        <w:szCs w:val="14"/>
      </w:rPr>
      <w:t>Mosta</w:t>
    </w:r>
  </w:p>
  <w:p w:rsidR="003E4F98" w:rsidRPr="008E0A5B" w:rsidRDefault="000F2523" w:rsidP="00EB6A09">
    <w:pPr>
      <w:pStyle w:val="En-tte"/>
      <w:tabs>
        <w:tab w:val="clear" w:pos="9072"/>
        <w:tab w:val="right" w:pos="9540"/>
      </w:tabs>
      <w:ind w:left="-180" w:right="-752" w:hanging="360"/>
      <w:jc w:val="center"/>
      <w:rPr>
        <w:rFonts w:ascii="Book Antiqua" w:hAnsi="Book Antiqua"/>
        <w:iCs/>
        <w:sz w:val="20"/>
        <w:szCs w:val="20"/>
      </w:rPr>
    </w:pPr>
    <w:r w:rsidRPr="00707967">
      <w:rPr>
        <w:iCs/>
        <w:noProof/>
        <w:sz w:val="16"/>
        <w:szCs w:val="16"/>
      </w:rPr>
      <w:pict>
        <v:line id="_x0000_s1025" style="position:absolute;left:0;text-align:left;z-index:251658240" from="-49.55pt,2.85pt" to="436.25pt,2.85pt" strokeweight=".25pt"/>
      </w:pict>
    </w:r>
  </w:p>
  <w:p w:rsidR="003E4F98" w:rsidRPr="00307CE9" w:rsidRDefault="000F2523" w:rsidP="00EB6A09">
    <w:pPr>
      <w:pStyle w:val="En-tte"/>
      <w:tabs>
        <w:tab w:val="clear" w:pos="9072"/>
        <w:tab w:val="right" w:pos="9540"/>
      </w:tabs>
      <w:ind w:left="-180" w:right="-496" w:hanging="360"/>
      <w:jc w:val="center"/>
      <w:rPr>
        <w:rFonts w:ascii="Book Antiqua" w:hAnsi="Book Antiqua"/>
        <w:i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17B0"/>
    <w:multiLevelType w:val="multilevel"/>
    <w:tmpl w:val="2D1E395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6201E7F"/>
    <w:multiLevelType w:val="multilevel"/>
    <w:tmpl w:val="7068A98C"/>
    <w:lvl w:ilvl="0">
      <w:numFmt w:val="decimal"/>
      <w:lvlText w:val="%1"/>
      <w:lvlJc w:val="left"/>
      <w:pPr>
        <w:tabs>
          <w:tab w:val="num" w:pos="660"/>
        </w:tabs>
        <w:ind w:left="660" w:hanging="660"/>
      </w:pPr>
      <w:rPr>
        <w:rFonts w:hint="default"/>
      </w:rPr>
    </w:lvl>
    <w:lvl w:ilvl="1">
      <w:start w:val="16"/>
      <w:numFmt w:val="decimalZero"/>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C2E6A65"/>
    <w:multiLevelType w:val="hybridMultilevel"/>
    <w:tmpl w:val="7F4610C6"/>
    <w:lvl w:ilvl="0" w:tplc="61BE0FF4">
      <w:start w:val="1"/>
      <w:numFmt w:val="bullet"/>
      <w:lvlText w:val=""/>
      <w:lvlJc w:val="left"/>
      <w:pPr>
        <w:tabs>
          <w:tab w:val="num" w:pos="1080"/>
        </w:tabs>
        <w:ind w:left="1080" w:hanging="360"/>
      </w:pPr>
      <w:rPr>
        <w:rFonts w:ascii="Symbol" w:eastAsia="Times New Roman" w:hAnsi="Symbol" w:cs="Times New Roman" w:hint="default"/>
      </w:rPr>
    </w:lvl>
    <w:lvl w:ilvl="1" w:tplc="040C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7AB2FC4"/>
    <w:multiLevelType w:val="hybridMultilevel"/>
    <w:tmpl w:val="6E8A1D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9797BE0"/>
    <w:multiLevelType w:val="hybridMultilevel"/>
    <w:tmpl w:val="264454A4"/>
    <w:lvl w:ilvl="0" w:tplc="040C0001">
      <w:start w:val="1"/>
      <w:numFmt w:val="bullet"/>
      <w:lvlText w:val=""/>
      <w:lvlJc w:val="left"/>
      <w:pPr>
        <w:tabs>
          <w:tab w:val="num" w:pos="900"/>
        </w:tabs>
        <w:ind w:left="900" w:hanging="360"/>
      </w:pPr>
      <w:rPr>
        <w:rFonts w:ascii="Symbol" w:hAnsi="Symbol" w:hint="default"/>
      </w:rPr>
    </w:lvl>
    <w:lvl w:ilvl="1" w:tplc="5D6A0BDE">
      <w:start w:val="1"/>
      <w:numFmt w:val="bullet"/>
      <w:lvlText w:val="-"/>
      <w:lvlJc w:val="left"/>
      <w:pPr>
        <w:tabs>
          <w:tab w:val="num" w:pos="1481"/>
        </w:tabs>
        <w:ind w:left="1481" w:hanging="360"/>
      </w:pPr>
      <w:rPr>
        <w:rFonts w:ascii="Times New Roman" w:eastAsia="Times New Roman" w:hAnsi="Times New Roman" w:cs="Times New Roman" w:hint="default"/>
      </w:rPr>
    </w:lvl>
    <w:lvl w:ilvl="2" w:tplc="040C0005" w:tentative="1">
      <w:start w:val="1"/>
      <w:numFmt w:val="bullet"/>
      <w:lvlText w:val=""/>
      <w:lvlJc w:val="left"/>
      <w:pPr>
        <w:tabs>
          <w:tab w:val="num" w:pos="2201"/>
        </w:tabs>
        <w:ind w:left="2201" w:hanging="360"/>
      </w:pPr>
      <w:rPr>
        <w:rFonts w:ascii="Wingdings" w:hAnsi="Wingdings" w:hint="default"/>
      </w:rPr>
    </w:lvl>
    <w:lvl w:ilvl="3" w:tplc="040C0001" w:tentative="1">
      <w:start w:val="1"/>
      <w:numFmt w:val="bullet"/>
      <w:lvlText w:val=""/>
      <w:lvlJc w:val="left"/>
      <w:pPr>
        <w:tabs>
          <w:tab w:val="num" w:pos="2921"/>
        </w:tabs>
        <w:ind w:left="2921" w:hanging="360"/>
      </w:pPr>
      <w:rPr>
        <w:rFonts w:ascii="Symbol" w:hAnsi="Symbol" w:hint="default"/>
      </w:rPr>
    </w:lvl>
    <w:lvl w:ilvl="4" w:tplc="040C0003" w:tentative="1">
      <w:start w:val="1"/>
      <w:numFmt w:val="bullet"/>
      <w:lvlText w:val="o"/>
      <w:lvlJc w:val="left"/>
      <w:pPr>
        <w:tabs>
          <w:tab w:val="num" w:pos="3641"/>
        </w:tabs>
        <w:ind w:left="3641" w:hanging="360"/>
      </w:pPr>
      <w:rPr>
        <w:rFonts w:ascii="Courier New" w:hAnsi="Courier New" w:hint="default"/>
      </w:rPr>
    </w:lvl>
    <w:lvl w:ilvl="5" w:tplc="040C0005" w:tentative="1">
      <w:start w:val="1"/>
      <w:numFmt w:val="bullet"/>
      <w:lvlText w:val=""/>
      <w:lvlJc w:val="left"/>
      <w:pPr>
        <w:tabs>
          <w:tab w:val="num" w:pos="4361"/>
        </w:tabs>
        <w:ind w:left="4361" w:hanging="360"/>
      </w:pPr>
      <w:rPr>
        <w:rFonts w:ascii="Wingdings" w:hAnsi="Wingdings" w:hint="default"/>
      </w:rPr>
    </w:lvl>
    <w:lvl w:ilvl="6" w:tplc="040C0001" w:tentative="1">
      <w:start w:val="1"/>
      <w:numFmt w:val="bullet"/>
      <w:lvlText w:val=""/>
      <w:lvlJc w:val="left"/>
      <w:pPr>
        <w:tabs>
          <w:tab w:val="num" w:pos="5081"/>
        </w:tabs>
        <w:ind w:left="5081" w:hanging="360"/>
      </w:pPr>
      <w:rPr>
        <w:rFonts w:ascii="Symbol" w:hAnsi="Symbol" w:hint="default"/>
      </w:rPr>
    </w:lvl>
    <w:lvl w:ilvl="7" w:tplc="040C0003" w:tentative="1">
      <w:start w:val="1"/>
      <w:numFmt w:val="bullet"/>
      <w:lvlText w:val="o"/>
      <w:lvlJc w:val="left"/>
      <w:pPr>
        <w:tabs>
          <w:tab w:val="num" w:pos="5801"/>
        </w:tabs>
        <w:ind w:left="5801" w:hanging="360"/>
      </w:pPr>
      <w:rPr>
        <w:rFonts w:ascii="Courier New" w:hAnsi="Courier New" w:hint="default"/>
      </w:rPr>
    </w:lvl>
    <w:lvl w:ilvl="8" w:tplc="040C0005" w:tentative="1">
      <w:start w:val="1"/>
      <w:numFmt w:val="bullet"/>
      <w:lvlText w:val=""/>
      <w:lvlJc w:val="left"/>
      <w:pPr>
        <w:tabs>
          <w:tab w:val="num" w:pos="6521"/>
        </w:tabs>
        <w:ind w:left="6521" w:hanging="360"/>
      </w:pPr>
      <w:rPr>
        <w:rFonts w:ascii="Wingdings" w:hAnsi="Wingdings" w:hint="default"/>
      </w:rPr>
    </w:lvl>
  </w:abstractNum>
  <w:abstractNum w:abstractNumId="5">
    <w:nsid w:val="1C6751F2"/>
    <w:multiLevelType w:val="hybridMultilevel"/>
    <w:tmpl w:val="9A9E4A6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nsid w:val="1E682FE5"/>
    <w:multiLevelType w:val="multilevel"/>
    <w:tmpl w:val="7068D568"/>
    <w:lvl w:ilvl="0">
      <w:start w:val="1"/>
      <w:numFmt w:val="bullet"/>
      <w:lvlText w:val=""/>
      <w:lvlJc w:val="left"/>
      <w:pPr>
        <w:tabs>
          <w:tab w:val="num" w:pos="1260"/>
        </w:tabs>
        <w:ind w:left="1260" w:hanging="360"/>
      </w:pPr>
      <w:rPr>
        <w:rFonts w:ascii="Wingdings" w:hAnsi="Wingding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7">
    <w:nsid w:val="275E0A3F"/>
    <w:multiLevelType w:val="hybridMultilevel"/>
    <w:tmpl w:val="2B4AF904"/>
    <w:lvl w:ilvl="0" w:tplc="DD4C666E">
      <w:start w:val="1"/>
      <w:numFmt w:val="decimal"/>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nsid w:val="2CF45232"/>
    <w:multiLevelType w:val="hybridMultilevel"/>
    <w:tmpl w:val="2B76DCF4"/>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9">
    <w:nsid w:val="31D33A9F"/>
    <w:multiLevelType w:val="hybridMultilevel"/>
    <w:tmpl w:val="7068D568"/>
    <w:lvl w:ilvl="0" w:tplc="040C0009">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0">
    <w:nsid w:val="369A7430"/>
    <w:multiLevelType w:val="hybridMultilevel"/>
    <w:tmpl w:val="654C78C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AA05300"/>
    <w:multiLevelType w:val="hybridMultilevel"/>
    <w:tmpl w:val="E9FC1B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EF27903"/>
    <w:multiLevelType w:val="hybridMultilevel"/>
    <w:tmpl w:val="78A4A37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0B52183"/>
    <w:multiLevelType w:val="hybridMultilevel"/>
    <w:tmpl w:val="929872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7705A16"/>
    <w:multiLevelType w:val="hybridMultilevel"/>
    <w:tmpl w:val="77EE889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99052E7"/>
    <w:multiLevelType w:val="hybridMultilevel"/>
    <w:tmpl w:val="676620EE"/>
    <w:lvl w:ilvl="0" w:tplc="040C0009">
      <w:start w:val="1"/>
      <w:numFmt w:val="bullet"/>
      <w:lvlText w:val=""/>
      <w:lvlJc w:val="left"/>
      <w:pPr>
        <w:tabs>
          <w:tab w:val="num" w:pos="1259"/>
        </w:tabs>
        <w:ind w:left="1259" w:hanging="360"/>
      </w:pPr>
      <w:rPr>
        <w:rFonts w:ascii="Wingdings" w:hAnsi="Wingdings" w:hint="default"/>
      </w:rPr>
    </w:lvl>
    <w:lvl w:ilvl="1" w:tplc="040C0003" w:tentative="1">
      <w:start w:val="1"/>
      <w:numFmt w:val="bullet"/>
      <w:lvlText w:val="o"/>
      <w:lvlJc w:val="left"/>
      <w:pPr>
        <w:tabs>
          <w:tab w:val="num" w:pos="1979"/>
        </w:tabs>
        <w:ind w:left="1979" w:hanging="360"/>
      </w:pPr>
      <w:rPr>
        <w:rFonts w:ascii="Courier New" w:hAnsi="Courier New" w:cs="Courier New" w:hint="default"/>
      </w:rPr>
    </w:lvl>
    <w:lvl w:ilvl="2" w:tplc="040C0005" w:tentative="1">
      <w:start w:val="1"/>
      <w:numFmt w:val="bullet"/>
      <w:lvlText w:val=""/>
      <w:lvlJc w:val="left"/>
      <w:pPr>
        <w:tabs>
          <w:tab w:val="num" w:pos="2699"/>
        </w:tabs>
        <w:ind w:left="2699" w:hanging="360"/>
      </w:pPr>
      <w:rPr>
        <w:rFonts w:ascii="Wingdings" w:hAnsi="Wingdings" w:hint="default"/>
      </w:rPr>
    </w:lvl>
    <w:lvl w:ilvl="3" w:tplc="040C0001" w:tentative="1">
      <w:start w:val="1"/>
      <w:numFmt w:val="bullet"/>
      <w:lvlText w:val=""/>
      <w:lvlJc w:val="left"/>
      <w:pPr>
        <w:tabs>
          <w:tab w:val="num" w:pos="3419"/>
        </w:tabs>
        <w:ind w:left="3419" w:hanging="360"/>
      </w:pPr>
      <w:rPr>
        <w:rFonts w:ascii="Symbol" w:hAnsi="Symbol" w:hint="default"/>
      </w:rPr>
    </w:lvl>
    <w:lvl w:ilvl="4" w:tplc="040C0003" w:tentative="1">
      <w:start w:val="1"/>
      <w:numFmt w:val="bullet"/>
      <w:lvlText w:val="o"/>
      <w:lvlJc w:val="left"/>
      <w:pPr>
        <w:tabs>
          <w:tab w:val="num" w:pos="4139"/>
        </w:tabs>
        <w:ind w:left="4139" w:hanging="360"/>
      </w:pPr>
      <w:rPr>
        <w:rFonts w:ascii="Courier New" w:hAnsi="Courier New" w:cs="Courier New" w:hint="default"/>
      </w:rPr>
    </w:lvl>
    <w:lvl w:ilvl="5" w:tplc="040C0005" w:tentative="1">
      <w:start w:val="1"/>
      <w:numFmt w:val="bullet"/>
      <w:lvlText w:val=""/>
      <w:lvlJc w:val="left"/>
      <w:pPr>
        <w:tabs>
          <w:tab w:val="num" w:pos="4859"/>
        </w:tabs>
        <w:ind w:left="4859" w:hanging="360"/>
      </w:pPr>
      <w:rPr>
        <w:rFonts w:ascii="Wingdings" w:hAnsi="Wingdings" w:hint="default"/>
      </w:rPr>
    </w:lvl>
    <w:lvl w:ilvl="6" w:tplc="040C0001" w:tentative="1">
      <w:start w:val="1"/>
      <w:numFmt w:val="bullet"/>
      <w:lvlText w:val=""/>
      <w:lvlJc w:val="left"/>
      <w:pPr>
        <w:tabs>
          <w:tab w:val="num" w:pos="5579"/>
        </w:tabs>
        <w:ind w:left="5579" w:hanging="360"/>
      </w:pPr>
      <w:rPr>
        <w:rFonts w:ascii="Symbol" w:hAnsi="Symbol" w:hint="default"/>
      </w:rPr>
    </w:lvl>
    <w:lvl w:ilvl="7" w:tplc="040C0003" w:tentative="1">
      <w:start w:val="1"/>
      <w:numFmt w:val="bullet"/>
      <w:lvlText w:val="o"/>
      <w:lvlJc w:val="left"/>
      <w:pPr>
        <w:tabs>
          <w:tab w:val="num" w:pos="6299"/>
        </w:tabs>
        <w:ind w:left="6299" w:hanging="360"/>
      </w:pPr>
      <w:rPr>
        <w:rFonts w:ascii="Courier New" w:hAnsi="Courier New" w:cs="Courier New" w:hint="default"/>
      </w:rPr>
    </w:lvl>
    <w:lvl w:ilvl="8" w:tplc="040C0005" w:tentative="1">
      <w:start w:val="1"/>
      <w:numFmt w:val="bullet"/>
      <w:lvlText w:val=""/>
      <w:lvlJc w:val="left"/>
      <w:pPr>
        <w:tabs>
          <w:tab w:val="num" w:pos="7019"/>
        </w:tabs>
        <w:ind w:left="7019" w:hanging="360"/>
      </w:pPr>
      <w:rPr>
        <w:rFonts w:ascii="Wingdings" w:hAnsi="Wingdings" w:hint="default"/>
      </w:rPr>
    </w:lvl>
  </w:abstractNum>
  <w:abstractNum w:abstractNumId="16">
    <w:nsid w:val="4CAC2605"/>
    <w:multiLevelType w:val="hybridMultilevel"/>
    <w:tmpl w:val="8068A012"/>
    <w:lvl w:ilvl="0" w:tplc="040C0001">
      <w:start w:val="1"/>
      <w:numFmt w:val="bullet"/>
      <w:lvlText w:val=""/>
      <w:lvlJc w:val="left"/>
      <w:pPr>
        <w:tabs>
          <w:tab w:val="num" w:pos="1259"/>
        </w:tabs>
        <w:ind w:left="1259" w:hanging="360"/>
      </w:pPr>
      <w:rPr>
        <w:rFonts w:ascii="Symbol" w:hAnsi="Symbol" w:hint="default"/>
      </w:rPr>
    </w:lvl>
    <w:lvl w:ilvl="1" w:tplc="040C0003" w:tentative="1">
      <w:start w:val="1"/>
      <w:numFmt w:val="bullet"/>
      <w:lvlText w:val="o"/>
      <w:lvlJc w:val="left"/>
      <w:pPr>
        <w:tabs>
          <w:tab w:val="num" w:pos="1979"/>
        </w:tabs>
        <w:ind w:left="1979" w:hanging="360"/>
      </w:pPr>
      <w:rPr>
        <w:rFonts w:ascii="Courier New" w:hAnsi="Courier New" w:cs="Courier New" w:hint="default"/>
      </w:rPr>
    </w:lvl>
    <w:lvl w:ilvl="2" w:tplc="040C0005" w:tentative="1">
      <w:start w:val="1"/>
      <w:numFmt w:val="bullet"/>
      <w:lvlText w:val=""/>
      <w:lvlJc w:val="left"/>
      <w:pPr>
        <w:tabs>
          <w:tab w:val="num" w:pos="2699"/>
        </w:tabs>
        <w:ind w:left="2699" w:hanging="360"/>
      </w:pPr>
      <w:rPr>
        <w:rFonts w:ascii="Wingdings" w:hAnsi="Wingdings" w:hint="default"/>
      </w:rPr>
    </w:lvl>
    <w:lvl w:ilvl="3" w:tplc="040C0001" w:tentative="1">
      <w:start w:val="1"/>
      <w:numFmt w:val="bullet"/>
      <w:lvlText w:val=""/>
      <w:lvlJc w:val="left"/>
      <w:pPr>
        <w:tabs>
          <w:tab w:val="num" w:pos="3419"/>
        </w:tabs>
        <w:ind w:left="3419" w:hanging="360"/>
      </w:pPr>
      <w:rPr>
        <w:rFonts w:ascii="Symbol" w:hAnsi="Symbol" w:hint="default"/>
      </w:rPr>
    </w:lvl>
    <w:lvl w:ilvl="4" w:tplc="040C0003" w:tentative="1">
      <w:start w:val="1"/>
      <w:numFmt w:val="bullet"/>
      <w:lvlText w:val="o"/>
      <w:lvlJc w:val="left"/>
      <w:pPr>
        <w:tabs>
          <w:tab w:val="num" w:pos="4139"/>
        </w:tabs>
        <w:ind w:left="4139" w:hanging="360"/>
      </w:pPr>
      <w:rPr>
        <w:rFonts w:ascii="Courier New" w:hAnsi="Courier New" w:cs="Courier New" w:hint="default"/>
      </w:rPr>
    </w:lvl>
    <w:lvl w:ilvl="5" w:tplc="040C0005" w:tentative="1">
      <w:start w:val="1"/>
      <w:numFmt w:val="bullet"/>
      <w:lvlText w:val=""/>
      <w:lvlJc w:val="left"/>
      <w:pPr>
        <w:tabs>
          <w:tab w:val="num" w:pos="4859"/>
        </w:tabs>
        <w:ind w:left="4859" w:hanging="360"/>
      </w:pPr>
      <w:rPr>
        <w:rFonts w:ascii="Wingdings" w:hAnsi="Wingdings" w:hint="default"/>
      </w:rPr>
    </w:lvl>
    <w:lvl w:ilvl="6" w:tplc="040C0001" w:tentative="1">
      <w:start w:val="1"/>
      <w:numFmt w:val="bullet"/>
      <w:lvlText w:val=""/>
      <w:lvlJc w:val="left"/>
      <w:pPr>
        <w:tabs>
          <w:tab w:val="num" w:pos="5579"/>
        </w:tabs>
        <w:ind w:left="5579" w:hanging="360"/>
      </w:pPr>
      <w:rPr>
        <w:rFonts w:ascii="Symbol" w:hAnsi="Symbol" w:hint="default"/>
      </w:rPr>
    </w:lvl>
    <w:lvl w:ilvl="7" w:tplc="040C0003" w:tentative="1">
      <w:start w:val="1"/>
      <w:numFmt w:val="bullet"/>
      <w:lvlText w:val="o"/>
      <w:lvlJc w:val="left"/>
      <w:pPr>
        <w:tabs>
          <w:tab w:val="num" w:pos="6299"/>
        </w:tabs>
        <w:ind w:left="6299" w:hanging="360"/>
      </w:pPr>
      <w:rPr>
        <w:rFonts w:ascii="Courier New" w:hAnsi="Courier New" w:cs="Courier New" w:hint="default"/>
      </w:rPr>
    </w:lvl>
    <w:lvl w:ilvl="8" w:tplc="040C0005" w:tentative="1">
      <w:start w:val="1"/>
      <w:numFmt w:val="bullet"/>
      <w:lvlText w:val=""/>
      <w:lvlJc w:val="left"/>
      <w:pPr>
        <w:tabs>
          <w:tab w:val="num" w:pos="7019"/>
        </w:tabs>
        <w:ind w:left="7019" w:hanging="360"/>
      </w:pPr>
      <w:rPr>
        <w:rFonts w:ascii="Wingdings" w:hAnsi="Wingdings" w:hint="default"/>
      </w:rPr>
    </w:lvl>
  </w:abstractNum>
  <w:abstractNum w:abstractNumId="17">
    <w:nsid w:val="508677DC"/>
    <w:multiLevelType w:val="hybridMultilevel"/>
    <w:tmpl w:val="D4C87A8E"/>
    <w:lvl w:ilvl="0" w:tplc="CF2A03C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553D4250"/>
    <w:multiLevelType w:val="hybridMultilevel"/>
    <w:tmpl w:val="95E88DC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5DC649CC"/>
    <w:multiLevelType w:val="hybridMultilevel"/>
    <w:tmpl w:val="7FDEC524"/>
    <w:lvl w:ilvl="0" w:tplc="74AA303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F0D521A"/>
    <w:multiLevelType w:val="hybridMultilevel"/>
    <w:tmpl w:val="D982F1CA"/>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F336451"/>
    <w:multiLevelType w:val="hybridMultilevel"/>
    <w:tmpl w:val="4C68B694"/>
    <w:lvl w:ilvl="0" w:tplc="8CC4A59E">
      <w:start w:val="1"/>
      <w:numFmt w:val="decimal"/>
      <w:lvlText w:val="%1)"/>
      <w:lvlJc w:val="left"/>
      <w:pPr>
        <w:ind w:left="1440" w:hanging="360"/>
      </w:pPr>
      <w:rPr>
        <w:rFonts w:hint="default"/>
        <w:b/>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nsid w:val="63632318"/>
    <w:multiLevelType w:val="hybridMultilevel"/>
    <w:tmpl w:val="2D1E395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66DB3F8B"/>
    <w:multiLevelType w:val="hybridMultilevel"/>
    <w:tmpl w:val="CB62F06C"/>
    <w:lvl w:ilvl="0" w:tplc="040C000B">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24">
    <w:nsid w:val="67951215"/>
    <w:multiLevelType w:val="hybridMultilevel"/>
    <w:tmpl w:val="96B63CD4"/>
    <w:lvl w:ilvl="0" w:tplc="2E9EC4F6">
      <w:start w:val="3"/>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CA122D2"/>
    <w:multiLevelType w:val="hybridMultilevel"/>
    <w:tmpl w:val="F2B226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6EBC629A"/>
    <w:multiLevelType w:val="hybridMultilevel"/>
    <w:tmpl w:val="CD74645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A55525B"/>
    <w:multiLevelType w:val="hybridMultilevel"/>
    <w:tmpl w:val="5CA0E49A"/>
    <w:lvl w:ilvl="0" w:tplc="040C0001">
      <w:start w:val="1"/>
      <w:numFmt w:val="bullet"/>
      <w:lvlText w:val=""/>
      <w:lvlJc w:val="left"/>
      <w:pPr>
        <w:tabs>
          <w:tab w:val="num" w:pos="720"/>
        </w:tabs>
        <w:ind w:left="720" w:hanging="360"/>
      </w:pPr>
      <w:rPr>
        <w:rFonts w:ascii="Symbol" w:hAnsi="Symbo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nsid w:val="7C727F7F"/>
    <w:multiLevelType w:val="hybridMultilevel"/>
    <w:tmpl w:val="F98AEF0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7EBD748B"/>
    <w:multiLevelType w:val="multilevel"/>
    <w:tmpl w:val="8DB6E226"/>
    <w:lvl w:ilvl="0">
      <w:numFmt w:val="decimal"/>
      <w:lvlText w:val="%1"/>
      <w:lvlJc w:val="left"/>
      <w:pPr>
        <w:tabs>
          <w:tab w:val="num" w:pos="540"/>
        </w:tabs>
        <w:ind w:left="540" w:hanging="540"/>
      </w:pPr>
      <w:rPr>
        <w:rFonts w:hint="default"/>
      </w:rPr>
    </w:lvl>
    <w:lvl w:ilvl="1">
      <w:start w:val="16"/>
      <w:numFmt w:val="decimalZero"/>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FC91F30"/>
    <w:multiLevelType w:val="hybridMultilevel"/>
    <w:tmpl w:val="4C9C5A4A"/>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31">
    <w:nsid w:val="7FF24684"/>
    <w:multiLevelType w:val="multilevel"/>
    <w:tmpl w:val="0C1E3628"/>
    <w:lvl w:ilvl="0">
      <w:numFmt w:val="decimal"/>
      <w:lvlText w:val="%1"/>
      <w:lvlJc w:val="left"/>
      <w:pPr>
        <w:tabs>
          <w:tab w:val="num" w:pos="660"/>
        </w:tabs>
        <w:ind w:left="660" w:hanging="660"/>
      </w:pPr>
      <w:rPr>
        <w:rFonts w:hint="default"/>
      </w:rPr>
    </w:lvl>
    <w:lvl w:ilvl="1">
      <w:start w:val="71"/>
      <w:numFmt w:val="decimalZero"/>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8"/>
  </w:num>
  <w:num w:numId="3">
    <w:abstractNumId w:val="23"/>
  </w:num>
  <w:num w:numId="4">
    <w:abstractNumId w:val="22"/>
  </w:num>
  <w:num w:numId="5">
    <w:abstractNumId w:val="0"/>
  </w:num>
  <w:num w:numId="6">
    <w:abstractNumId w:val="28"/>
  </w:num>
  <w:num w:numId="7">
    <w:abstractNumId w:val="17"/>
  </w:num>
  <w:num w:numId="8">
    <w:abstractNumId w:val="12"/>
  </w:num>
  <w:num w:numId="9">
    <w:abstractNumId w:val="15"/>
  </w:num>
  <w:num w:numId="10">
    <w:abstractNumId w:val="4"/>
  </w:num>
  <w:num w:numId="11">
    <w:abstractNumId w:val="27"/>
  </w:num>
  <w:num w:numId="12">
    <w:abstractNumId w:val="1"/>
  </w:num>
  <w:num w:numId="13">
    <w:abstractNumId w:val="31"/>
  </w:num>
  <w:num w:numId="14">
    <w:abstractNumId w:val="29"/>
  </w:num>
  <w:num w:numId="15">
    <w:abstractNumId w:val="20"/>
  </w:num>
  <w:num w:numId="16">
    <w:abstractNumId w:val="9"/>
  </w:num>
  <w:num w:numId="17">
    <w:abstractNumId w:val="13"/>
  </w:num>
  <w:num w:numId="18">
    <w:abstractNumId w:val="3"/>
  </w:num>
  <w:num w:numId="19">
    <w:abstractNumId w:val="30"/>
  </w:num>
  <w:num w:numId="20">
    <w:abstractNumId w:val="8"/>
  </w:num>
  <w:num w:numId="21">
    <w:abstractNumId w:val="6"/>
  </w:num>
  <w:num w:numId="22">
    <w:abstractNumId w:val="10"/>
  </w:num>
  <w:num w:numId="23">
    <w:abstractNumId w:val="25"/>
  </w:num>
  <w:num w:numId="24">
    <w:abstractNumId w:val="16"/>
  </w:num>
  <w:num w:numId="25">
    <w:abstractNumId w:val="5"/>
  </w:num>
  <w:num w:numId="26">
    <w:abstractNumId w:val="7"/>
  </w:num>
  <w:num w:numId="27">
    <w:abstractNumId w:val="11"/>
  </w:num>
  <w:num w:numId="28">
    <w:abstractNumId w:val="26"/>
  </w:num>
  <w:num w:numId="29">
    <w:abstractNumId w:val="14"/>
  </w:num>
  <w:num w:numId="30">
    <w:abstractNumId w:val="19"/>
  </w:num>
  <w:num w:numId="31">
    <w:abstractNumId w:val="24"/>
  </w:num>
  <w:num w:numId="3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hyphenationZone w:val="425"/>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rsids>
    <w:rsidRoot w:val="00582946"/>
    <w:rsid w:val="000B3495"/>
    <w:rsid w:val="000D569A"/>
    <w:rsid w:val="000E2769"/>
    <w:rsid w:val="000E311E"/>
    <w:rsid w:val="000F2523"/>
    <w:rsid w:val="0010635E"/>
    <w:rsid w:val="00120276"/>
    <w:rsid w:val="00147424"/>
    <w:rsid w:val="00163EDA"/>
    <w:rsid w:val="00210F88"/>
    <w:rsid w:val="00242324"/>
    <w:rsid w:val="00246DE1"/>
    <w:rsid w:val="00250131"/>
    <w:rsid w:val="00261823"/>
    <w:rsid w:val="00272601"/>
    <w:rsid w:val="002B0344"/>
    <w:rsid w:val="002D715D"/>
    <w:rsid w:val="00327647"/>
    <w:rsid w:val="00353C38"/>
    <w:rsid w:val="003717D8"/>
    <w:rsid w:val="003C2576"/>
    <w:rsid w:val="00480042"/>
    <w:rsid w:val="004A0C6E"/>
    <w:rsid w:val="005603B6"/>
    <w:rsid w:val="00582946"/>
    <w:rsid w:val="00591503"/>
    <w:rsid w:val="00614694"/>
    <w:rsid w:val="00617C21"/>
    <w:rsid w:val="00647CA9"/>
    <w:rsid w:val="00670FF4"/>
    <w:rsid w:val="006F2D6D"/>
    <w:rsid w:val="007202C2"/>
    <w:rsid w:val="007239AD"/>
    <w:rsid w:val="007347F8"/>
    <w:rsid w:val="007760F7"/>
    <w:rsid w:val="00777F69"/>
    <w:rsid w:val="00785E5A"/>
    <w:rsid w:val="007B2D6A"/>
    <w:rsid w:val="007E6DCC"/>
    <w:rsid w:val="008B2195"/>
    <w:rsid w:val="008E7AD9"/>
    <w:rsid w:val="00945254"/>
    <w:rsid w:val="00952812"/>
    <w:rsid w:val="009A150D"/>
    <w:rsid w:val="00A8513F"/>
    <w:rsid w:val="00A906C3"/>
    <w:rsid w:val="00AD32E1"/>
    <w:rsid w:val="00B8388C"/>
    <w:rsid w:val="00C03DFE"/>
    <w:rsid w:val="00C33E58"/>
    <w:rsid w:val="00C52207"/>
    <w:rsid w:val="00CB1DC7"/>
    <w:rsid w:val="00CC072C"/>
    <w:rsid w:val="00E110B4"/>
    <w:rsid w:val="00ED5807"/>
    <w:rsid w:val="00FB7F9C"/>
    <w:rsid w:val="00FE3105"/>
    <w:rsid w:val="00FF1C0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946"/>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unhideWhenUsed/>
    <w:qFormat/>
    <w:rsid w:val="0058294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582946"/>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582946"/>
    <w:pPr>
      <w:keepNext/>
      <w:spacing w:before="240" w:after="60"/>
      <w:outlineLvl w:val="3"/>
    </w:pPr>
    <w:rPr>
      <w:b/>
      <w:bCs/>
      <w:sz w:val="28"/>
      <w:szCs w:val="28"/>
    </w:rPr>
  </w:style>
  <w:style w:type="paragraph" w:styleId="Titre5">
    <w:name w:val="heading 5"/>
    <w:basedOn w:val="Normal"/>
    <w:next w:val="Normal"/>
    <w:link w:val="Titre5Car"/>
    <w:qFormat/>
    <w:rsid w:val="00582946"/>
    <w:pPr>
      <w:keepNext/>
      <w:spacing w:before="120" w:after="120" w:line="400" w:lineRule="atLeast"/>
      <w:jc w:val="lowKashida"/>
      <w:outlineLvl w:val="4"/>
    </w:pPr>
    <w:rPr>
      <w:b/>
      <w:bCs/>
      <w:lang w:eastAsia="en-US"/>
    </w:rPr>
  </w:style>
  <w:style w:type="paragraph" w:styleId="Titre6">
    <w:name w:val="heading 6"/>
    <w:basedOn w:val="Normal"/>
    <w:next w:val="Normal"/>
    <w:link w:val="Titre6Car"/>
    <w:qFormat/>
    <w:rsid w:val="00582946"/>
    <w:p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582946"/>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rsid w:val="00582946"/>
    <w:rPr>
      <w:rFonts w:asciiTheme="majorHAnsi" w:eastAsiaTheme="majorEastAsia" w:hAnsiTheme="majorHAnsi" w:cstheme="majorBidi"/>
      <w:b/>
      <w:bCs/>
      <w:color w:val="4F81BD" w:themeColor="accent1"/>
      <w:sz w:val="24"/>
      <w:szCs w:val="24"/>
      <w:lang w:eastAsia="fr-FR"/>
    </w:rPr>
  </w:style>
  <w:style w:type="character" w:customStyle="1" w:styleId="Titre4Car">
    <w:name w:val="Titre 4 Car"/>
    <w:basedOn w:val="Policepardfaut"/>
    <w:link w:val="Titre4"/>
    <w:rsid w:val="00582946"/>
    <w:rPr>
      <w:rFonts w:ascii="Times New Roman" w:eastAsia="Times New Roman" w:hAnsi="Times New Roman" w:cs="Times New Roman"/>
      <w:b/>
      <w:bCs/>
      <w:sz w:val="28"/>
      <w:szCs w:val="28"/>
      <w:lang w:eastAsia="fr-FR"/>
    </w:rPr>
  </w:style>
  <w:style w:type="character" w:customStyle="1" w:styleId="Titre5Car">
    <w:name w:val="Titre 5 Car"/>
    <w:basedOn w:val="Policepardfaut"/>
    <w:link w:val="Titre5"/>
    <w:rsid w:val="00582946"/>
    <w:rPr>
      <w:rFonts w:ascii="Times New Roman" w:eastAsia="Times New Roman" w:hAnsi="Times New Roman" w:cs="Times New Roman"/>
      <w:b/>
      <w:bCs/>
      <w:sz w:val="24"/>
      <w:szCs w:val="24"/>
    </w:rPr>
  </w:style>
  <w:style w:type="character" w:customStyle="1" w:styleId="Titre6Car">
    <w:name w:val="Titre 6 Car"/>
    <w:basedOn w:val="Policepardfaut"/>
    <w:link w:val="Titre6"/>
    <w:rsid w:val="00582946"/>
    <w:rPr>
      <w:rFonts w:ascii="Times New Roman" w:eastAsia="Times New Roman" w:hAnsi="Times New Roman" w:cs="Times New Roman"/>
      <w:b/>
      <w:bCs/>
      <w:lang w:eastAsia="fr-FR"/>
    </w:rPr>
  </w:style>
  <w:style w:type="paragraph" w:styleId="Retraitcorpsdetexte2">
    <w:name w:val="Body Text Indent 2"/>
    <w:basedOn w:val="Normal"/>
    <w:link w:val="Retraitcorpsdetexte2Car"/>
    <w:rsid w:val="00582946"/>
    <w:pPr>
      <w:spacing w:before="120" w:after="120" w:line="400" w:lineRule="atLeast"/>
      <w:ind w:firstLine="720"/>
      <w:jc w:val="lowKashida"/>
    </w:pPr>
    <w:rPr>
      <w:lang w:eastAsia="en-US"/>
    </w:rPr>
  </w:style>
  <w:style w:type="character" w:customStyle="1" w:styleId="Retraitcorpsdetexte2Car">
    <w:name w:val="Retrait corps de texte 2 Car"/>
    <w:basedOn w:val="Policepardfaut"/>
    <w:link w:val="Retraitcorpsdetexte2"/>
    <w:rsid w:val="00582946"/>
    <w:rPr>
      <w:rFonts w:ascii="Times New Roman" w:eastAsia="Times New Roman" w:hAnsi="Times New Roman" w:cs="Times New Roman"/>
      <w:sz w:val="24"/>
      <w:szCs w:val="24"/>
    </w:rPr>
  </w:style>
  <w:style w:type="paragraph" w:styleId="Retraitcorpsdetexte">
    <w:name w:val="Body Text Indent"/>
    <w:basedOn w:val="Normal"/>
    <w:link w:val="RetraitcorpsdetexteCar"/>
    <w:rsid w:val="00582946"/>
    <w:pPr>
      <w:spacing w:after="120"/>
      <w:ind w:left="283"/>
    </w:pPr>
  </w:style>
  <w:style w:type="character" w:customStyle="1" w:styleId="RetraitcorpsdetexteCar">
    <w:name w:val="Retrait corps de texte Car"/>
    <w:basedOn w:val="Policepardfaut"/>
    <w:link w:val="Retraitcorpsdetexte"/>
    <w:rsid w:val="00582946"/>
    <w:rPr>
      <w:rFonts w:ascii="Times New Roman" w:eastAsia="Times New Roman" w:hAnsi="Times New Roman" w:cs="Times New Roman"/>
      <w:sz w:val="24"/>
      <w:szCs w:val="24"/>
      <w:lang w:eastAsia="fr-FR"/>
    </w:rPr>
  </w:style>
  <w:style w:type="paragraph" w:styleId="Corpsdetexte">
    <w:name w:val="Body Text"/>
    <w:basedOn w:val="Normal"/>
    <w:link w:val="CorpsdetexteCar"/>
    <w:rsid w:val="00582946"/>
    <w:pPr>
      <w:spacing w:after="120"/>
    </w:pPr>
  </w:style>
  <w:style w:type="character" w:customStyle="1" w:styleId="CorpsdetexteCar">
    <w:name w:val="Corps de texte Car"/>
    <w:basedOn w:val="Policepardfaut"/>
    <w:link w:val="Corpsdetexte"/>
    <w:rsid w:val="00582946"/>
    <w:rPr>
      <w:rFonts w:ascii="Times New Roman" w:eastAsia="Times New Roman" w:hAnsi="Times New Roman" w:cs="Times New Roman"/>
      <w:sz w:val="24"/>
      <w:szCs w:val="24"/>
      <w:lang w:eastAsia="fr-FR"/>
    </w:rPr>
  </w:style>
  <w:style w:type="table" w:styleId="Grilledutableau">
    <w:name w:val="Table Grid"/>
    <w:basedOn w:val="TableauNormal"/>
    <w:rsid w:val="00582946"/>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rsid w:val="00582946"/>
    <w:pPr>
      <w:tabs>
        <w:tab w:val="center" w:pos="4536"/>
        <w:tab w:val="right" w:pos="9072"/>
      </w:tabs>
    </w:pPr>
  </w:style>
  <w:style w:type="character" w:customStyle="1" w:styleId="En-tteCar">
    <w:name w:val="En-tête Car"/>
    <w:basedOn w:val="Policepardfaut"/>
    <w:link w:val="En-tte"/>
    <w:rsid w:val="00582946"/>
    <w:rPr>
      <w:rFonts w:ascii="Times New Roman" w:eastAsia="Times New Roman" w:hAnsi="Times New Roman" w:cs="Times New Roman"/>
      <w:sz w:val="24"/>
      <w:szCs w:val="24"/>
      <w:lang w:eastAsia="fr-FR"/>
    </w:rPr>
  </w:style>
  <w:style w:type="paragraph" w:styleId="Pieddepage">
    <w:name w:val="footer"/>
    <w:basedOn w:val="Normal"/>
    <w:link w:val="PieddepageCar"/>
    <w:rsid w:val="00582946"/>
    <w:pPr>
      <w:tabs>
        <w:tab w:val="center" w:pos="4536"/>
        <w:tab w:val="right" w:pos="9072"/>
      </w:tabs>
    </w:pPr>
  </w:style>
  <w:style w:type="character" w:customStyle="1" w:styleId="PieddepageCar">
    <w:name w:val="Pied de page Car"/>
    <w:basedOn w:val="Policepardfaut"/>
    <w:link w:val="Pieddepage"/>
    <w:rsid w:val="00582946"/>
    <w:rPr>
      <w:rFonts w:ascii="Times New Roman" w:eastAsia="Times New Roman" w:hAnsi="Times New Roman" w:cs="Times New Roman"/>
      <w:sz w:val="24"/>
      <w:szCs w:val="24"/>
      <w:lang w:eastAsia="fr-FR"/>
    </w:rPr>
  </w:style>
  <w:style w:type="paragraph" w:styleId="NormalWeb">
    <w:name w:val="Normal (Web)"/>
    <w:basedOn w:val="Normal"/>
    <w:rsid w:val="00582946"/>
    <w:pPr>
      <w:spacing w:before="100" w:beforeAutospacing="1" w:after="100" w:afterAutospacing="1"/>
    </w:pPr>
  </w:style>
  <w:style w:type="character" w:styleId="Numrodepage">
    <w:name w:val="page number"/>
    <w:basedOn w:val="Policepardfaut"/>
    <w:rsid w:val="00582946"/>
  </w:style>
  <w:style w:type="paragraph" w:customStyle="1" w:styleId="title">
    <w:name w:val="title"/>
    <w:basedOn w:val="Normal"/>
    <w:rsid w:val="00582946"/>
    <w:pPr>
      <w:spacing w:before="100" w:beforeAutospacing="1" w:after="100" w:afterAutospacing="1"/>
      <w:ind w:right="2250"/>
    </w:pPr>
    <w:rPr>
      <w:rFonts w:ascii="Arial" w:hAnsi="Arial" w:cs="Arial"/>
      <w:sz w:val="18"/>
      <w:szCs w:val="18"/>
    </w:rPr>
  </w:style>
  <w:style w:type="character" w:styleId="Accentuation">
    <w:name w:val="Emphasis"/>
    <w:basedOn w:val="Policepardfaut"/>
    <w:qFormat/>
    <w:rsid w:val="00582946"/>
    <w:rPr>
      <w:i/>
      <w:iCs/>
    </w:rPr>
  </w:style>
  <w:style w:type="paragraph" w:styleId="Textedebulles">
    <w:name w:val="Balloon Text"/>
    <w:basedOn w:val="Normal"/>
    <w:link w:val="TextedebullesCar"/>
    <w:uiPriority w:val="99"/>
    <w:semiHidden/>
    <w:unhideWhenUsed/>
    <w:rsid w:val="00582946"/>
    <w:rPr>
      <w:rFonts w:ascii="Tahoma" w:hAnsi="Tahoma" w:cs="Tahoma"/>
      <w:sz w:val="16"/>
      <w:szCs w:val="16"/>
    </w:rPr>
  </w:style>
  <w:style w:type="character" w:customStyle="1" w:styleId="TextedebullesCar">
    <w:name w:val="Texte de bulles Car"/>
    <w:basedOn w:val="Policepardfaut"/>
    <w:link w:val="Textedebulles"/>
    <w:uiPriority w:val="99"/>
    <w:semiHidden/>
    <w:rsid w:val="00582946"/>
    <w:rPr>
      <w:rFonts w:ascii="Tahoma" w:eastAsia="Times New Roman" w:hAnsi="Tahoma" w:cs="Tahoma"/>
      <w:sz w:val="16"/>
      <w:szCs w:val="16"/>
      <w:lang w:eastAsia="fr-FR"/>
    </w:rPr>
  </w:style>
  <w:style w:type="paragraph" w:styleId="Paragraphedeliste">
    <w:name w:val="List Paragraph"/>
    <w:basedOn w:val="Normal"/>
    <w:uiPriority w:val="34"/>
    <w:qFormat/>
    <w:rsid w:val="00582946"/>
    <w:pPr>
      <w:ind w:left="720"/>
      <w:contextualSpacing/>
    </w:pPr>
  </w:style>
  <w:style w:type="paragraph" w:customStyle="1" w:styleId="body">
    <w:name w:val="body"/>
    <w:basedOn w:val="Normal"/>
    <w:rsid w:val="00582946"/>
    <w:pPr>
      <w:spacing w:before="100" w:beforeAutospacing="1" w:after="100" w:afterAutospacing="1"/>
      <w:jc w:val="both"/>
    </w:pPr>
    <w:rPr>
      <w:rFonts w:ascii="Verdana" w:hAnsi="Verdana"/>
      <w:sz w:val="11"/>
      <w:szCs w:val="1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5445</Words>
  <Characters>29950</Characters>
  <Application>Microsoft Office Word</Application>
  <DocSecurity>0</DocSecurity>
  <Lines>249</Lines>
  <Paragraphs>70</Paragraphs>
  <ScaleCrop>false</ScaleCrop>
  <Company/>
  <LinksUpToDate>false</LinksUpToDate>
  <CharactersWithSpaces>35325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easy</dc:creator>
  <cp:keywords/>
  <dc:description/>
  <cp:lastModifiedBy>easy</cp:lastModifiedBy>
  <cp:revision>1</cp:revision>
  <dcterms:created xsi:type="dcterms:W3CDTF">2009-04-26T12:42:00Z</dcterms:created>
  <dcterms:modified xsi:type="dcterms:W3CDTF">2009-04-26T12:46:00Z</dcterms:modified>
</cp:coreProperties>
</file>